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8D" w:rsidRPr="006F1A8D" w:rsidRDefault="006F1A8D" w:rsidP="006F1A8D">
      <w:pPr>
        <w:pStyle w:val="a4"/>
        <w:spacing w:after="0"/>
        <w:rPr>
          <w:rFonts w:ascii="Times New Roman" w:hAnsi="Times New Roman"/>
          <w:sz w:val="24"/>
        </w:rPr>
      </w:pPr>
      <w:r w:rsidRPr="006F1A8D">
        <w:rPr>
          <w:rFonts w:ascii="Times New Roman" w:hAnsi="Times New Roman"/>
          <w:sz w:val="24"/>
        </w:rPr>
        <w:t>УДК 349.6</w:t>
      </w:r>
      <w:r w:rsidRPr="006F1A8D">
        <w:rPr>
          <w:rFonts w:ascii="Times New Roman" w:eastAsia="MS Mincho" w:hAnsi="MS Mincho" w:cs="MS Mincho" w:hint="eastAsia"/>
          <w:sz w:val="24"/>
        </w:rPr>
        <w:t> </w:t>
      </w:r>
      <w:r w:rsidRPr="006F1A8D">
        <w:rPr>
          <w:rFonts w:ascii="Times New Roman" w:hAnsi="Times New Roman"/>
          <w:sz w:val="24"/>
        </w:rPr>
        <w:t>(98)</w:t>
      </w:r>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СУДЕБНАЯ ЗАЩИТА ЭКОЛОГИЧЕСКИХ ПРАВ В АРКТИЧЕСКОЙ ЗОНЕ </w:t>
      </w:r>
      <w:r w:rsidRPr="006F1A8D">
        <w:rPr>
          <w:rFonts w:ascii="Times New Roman" w:hAnsi="Times New Roman"/>
          <w:sz w:val="24"/>
        </w:rPr>
        <w:br/>
        <w:t>РОССИЙСКОЙ ФЕДЕРАЦИИ (НА ПРИМЕРЕ АРХАНГЕЛЬСКОЙ ОБЛАСТИ)</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w:t>
      </w:r>
      <w:r w:rsidRPr="006F1A8D">
        <w:rPr>
          <w:rFonts w:ascii="Times New Roman" w:hAnsi="Times New Roman"/>
          <w:vertAlign w:val="superscript"/>
        </w:rPr>
        <w:t>1</w:t>
      </w:r>
      <w:r w:rsidRPr="006F1A8D">
        <w:rPr>
          <w:rFonts w:ascii="Times New Roman" w:hAnsi="Times New Roman"/>
        </w:rPr>
        <w:t xml:space="preserve">Т. В. </w:t>
      </w:r>
      <w:proofErr w:type="spellStart"/>
      <w:r w:rsidRPr="006F1A8D">
        <w:rPr>
          <w:rFonts w:ascii="Times New Roman" w:hAnsi="Times New Roman"/>
        </w:rPr>
        <w:t>Вилова</w:t>
      </w:r>
      <w:proofErr w:type="spellEnd"/>
      <w:r w:rsidRPr="006F1A8D">
        <w:rPr>
          <w:rFonts w:ascii="Times New Roman" w:hAnsi="Times New Roman"/>
        </w:rPr>
        <w:t>,</w:t>
      </w:r>
      <w:r w:rsidRPr="006F1A8D">
        <w:rPr>
          <w:rFonts w:ascii="Times New Roman" w:hAnsi="Times New Roman"/>
          <w:vertAlign w:val="superscript"/>
        </w:rPr>
        <w:t xml:space="preserve"> 2</w:t>
      </w:r>
      <w:r w:rsidRPr="006F1A8D">
        <w:rPr>
          <w:rFonts w:ascii="Times New Roman" w:hAnsi="Times New Roman"/>
        </w:rPr>
        <w:t xml:space="preserve">М. Г. </w:t>
      </w:r>
      <w:proofErr w:type="spellStart"/>
      <w:r w:rsidRPr="006F1A8D">
        <w:rPr>
          <w:rFonts w:ascii="Times New Roman" w:hAnsi="Times New Roman"/>
        </w:rPr>
        <w:t>Вилова</w:t>
      </w:r>
      <w:proofErr w:type="spellEnd"/>
      <w:r w:rsidRPr="006F1A8D">
        <w:rPr>
          <w:rFonts w:ascii="Times New Roman" w:hAnsi="Times New Roman"/>
        </w:rPr>
        <w:t>,</w:t>
      </w:r>
      <w:r w:rsidRPr="006F1A8D">
        <w:rPr>
          <w:rFonts w:ascii="Times New Roman" w:hAnsi="Times New Roman"/>
          <w:vertAlign w:val="superscript"/>
        </w:rPr>
        <w:t xml:space="preserve"> 3</w:t>
      </w:r>
      <w:r w:rsidRPr="006F1A8D">
        <w:rPr>
          <w:rFonts w:ascii="Times New Roman" w:hAnsi="Times New Roman"/>
        </w:rPr>
        <w:t xml:space="preserve">М. С. </w:t>
      </w:r>
      <w:proofErr w:type="spellStart"/>
      <w:r w:rsidRPr="006F1A8D">
        <w:rPr>
          <w:rFonts w:ascii="Times New Roman" w:hAnsi="Times New Roman"/>
        </w:rPr>
        <w:t>Пермиловский</w:t>
      </w:r>
      <w:proofErr w:type="spellEnd"/>
    </w:p>
    <w:p w:rsidR="006F1A8D" w:rsidRPr="006F1A8D" w:rsidRDefault="006F1A8D" w:rsidP="006F1A8D">
      <w:pPr>
        <w:pStyle w:val="a7"/>
        <w:rPr>
          <w:rFonts w:ascii="Times New Roman" w:hAnsi="Times New Roman"/>
          <w:w w:val="100"/>
          <w:sz w:val="24"/>
          <w:vertAlign w:val="superscript"/>
        </w:rPr>
      </w:pPr>
      <w:r w:rsidRPr="006F1A8D">
        <w:rPr>
          <w:rFonts w:ascii="Times New Roman" w:hAnsi="Times New Roman"/>
          <w:w w:val="100"/>
          <w:sz w:val="24"/>
          <w:vertAlign w:val="superscript"/>
        </w:rPr>
        <w:t>1</w:t>
      </w: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государственный медицинский университет» Минздрава России;</w:t>
      </w:r>
    </w:p>
    <w:p w:rsidR="006F1A8D" w:rsidRPr="006F1A8D" w:rsidRDefault="006F1A8D" w:rsidP="006F1A8D">
      <w:pPr>
        <w:pStyle w:val="a7"/>
        <w:rPr>
          <w:rFonts w:ascii="Times New Roman" w:hAnsi="Times New Roman"/>
          <w:w w:val="100"/>
          <w:sz w:val="24"/>
          <w:vertAlign w:val="superscript"/>
        </w:rPr>
      </w:pPr>
      <w:r w:rsidRPr="006F1A8D">
        <w:rPr>
          <w:rFonts w:ascii="Times New Roman" w:hAnsi="Times New Roman"/>
          <w:w w:val="100"/>
          <w:sz w:val="24"/>
          <w:vertAlign w:val="superscript"/>
        </w:rPr>
        <w:t>2</w:t>
      </w:r>
      <w:r w:rsidRPr="006F1A8D">
        <w:rPr>
          <w:rFonts w:ascii="Times New Roman" w:hAnsi="Times New Roman"/>
          <w:w w:val="100"/>
          <w:sz w:val="24"/>
        </w:rPr>
        <w:t xml:space="preserve">Арбитражный суд Архангельской области; </w:t>
      </w:r>
      <w:r w:rsidRPr="006F1A8D">
        <w:rPr>
          <w:rFonts w:ascii="Times New Roman" w:hAnsi="Times New Roman"/>
          <w:w w:val="100"/>
          <w:sz w:val="24"/>
          <w:vertAlign w:val="superscript"/>
        </w:rPr>
        <w:t>3</w:t>
      </w:r>
      <w:r w:rsidRPr="006F1A8D">
        <w:rPr>
          <w:rFonts w:ascii="Times New Roman" w:hAnsi="Times New Roman"/>
          <w:w w:val="100"/>
          <w:sz w:val="24"/>
        </w:rPr>
        <w:t xml:space="preserve">ФГАОУ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(Арктический) </w:t>
      </w:r>
      <w:r w:rsidRPr="006F1A8D">
        <w:rPr>
          <w:rFonts w:ascii="Times New Roman" w:hAnsi="Times New Roman"/>
          <w:w w:val="100"/>
          <w:sz w:val="24"/>
        </w:rPr>
        <w:br/>
        <w:t xml:space="preserve">федеральный университет имени М. В. Ломоносова», г. Архангельск </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В статье рассматриваются условия эффективности судебной защиты прав человека в контексте обеспечения экологической безопасности в Арктике. Проанализирована судебная практика защиты прав человека в Арктической зоне Российской Федерации и проведена классификация судебных дел в данной сфере. Определены основные подходы, используемые судами для защиты права на благоприятную окружающую среду как центрального конституционного экологического права. Установлено, что в тех случаях, когда непосредственного нарушителя указанного права выявить не удается, суд возлагает обязанность по устранению последствий соответствующего нарушения на органы местного самоуправления. По объективным причинам органы местного самоуправления не могут единовременно исполнить значительное количество судебных актов, что негативно сказывается как на судебной защите права на благоприятную окружающую среду, так и на гарантировании экологической безопасности в Арктике. </w:t>
      </w:r>
      <w:proofErr w:type="gramStart"/>
      <w:r w:rsidRPr="006F1A8D">
        <w:rPr>
          <w:rFonts w:ascii="Times New Roman" w:hAnsi="Times New Roman"/>
          <w:w w:val="100"/>
          <w:sz w:val="24"/>
        </w:rPr>
        <w:t>В ходе исследования сделаны выводы о том, что для достижения целей экологической безопасности в Арктике судами должен использоваться подход, основанный на приоритетной защите права на благоприятную окружающую среду и безусловной обязанности публичных образований обеспечить реализацию данного права, а также следует выработать механизм взаимодействия публичных образований разного уровня в части финансового обеспечения исполнения судебных решений.</w:t>
      </w:r>
      <w:proofErr w:type="gramEnd"/>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судебная защита, права человека, право на благоприятную окружающую среду, экологическая безопасность, Арктика</w:t>
      </w:r>
    </w:p>
    <w:p w:rsidR="006F1A8D" w:rsidRPr="006F1A8D" w:rsidRDefault="006F1A8D" w:rsidP="006F1A8D">
      <w:pPr>
        <w:pStyle w:val="a3"/>
        <w:rPr>
          <w:rFonts w:ascii="Times New Roman" w:hAnsi="Times New Roman"/>
          <w:sz w:val="24"/>
        </w:rPr>
      </w:pPr>
    </w:p>
    <w:p w:rsidR="006F1A8D" w:rsidRPr="006F1A8D" w:rsidRDefault="006F1A8D" w:rsidP="006F1A8D">
      <w:pPr>
        <w:pStyle w:val="a4"/>
        <w:spacing w:after="57"/>
        <w:rPr>
          <w:rFonts w:ascii="Times New Roman" w:hAnsi="Times New Roman"/>
          <w:sz w:val="24"/>
        </w:rPr>
      </w:pPr>
      <w:r w:rsidRPr="006F1A8D">
        <w:rPr>
          <w:rFonts w:ascii="Times New Roman" w:hAnsi="Times New Roman"/>
          <w:sz w:val="24"/>
        </w:rPr>
        <w:t>УДК 504.75</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613.1</w:t>
      </w:r>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АНАЛИЗ ВОЗДЕЙСТВИЯ КЛИМАТОТЕХНОГЕННОГО ПРЕССИНГА НА ЖИТЕЛЕЙ СЕВЕРНОЙ УРБАНИЗИРОВАННОЙ ТЕРРИТОРИИ </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w:t>
      </w:r>
      <w:r w:rsidRPr="006F1A8D">
        <w:rPr>
          <w:rFonts w:ascii="Times New Roman" w:hAnsi="Times New Roman"/>
          <w:vertAlign w:val="superscript"/>
        </w:rPr>
        <w:t>1</w:t>
      </w:r>
      <w:r w:rsidRPr="006F1A8D">
        <w:rPr>
          <w:rFonts w:ascii="Times New Roman" w:hAnsi="Times New Roman"/>
        </w:rPr>
        <w:t xml:space="preserve">В. А. Карпин, </w:t>
      </w:r>
      <w:r w:rsidRPr="006F1A8D">
        <w:rPr>
          <w:rFonts w:ascii="Times New Roman" w:hAnsi="Times New Roman"/>
          <w:vertAlign w:val="superscript"/>
        </w:rPr>
        <w:t>2,3</w:t>
      </w:r>
      <w:r w:rsidRPr="006F1A8D">
        <w:rPr>
          <w:rFonts w:ascii="Times New Roman" w:hAnsi="Times New Roman"/>
        </w:rPr>
        <w:t xml:space="preserve">А. Б. Гудков, </w:t>
      </w:r>
      <w:r w:rsidRPr="006F1A8D">
        <w:rPr>
          <w:rFonts w:ascii="Times New Roman" w:hAnsi="Times New Roman"/>
          <w:vertAlign w:val="superscript"/>
        </w:rPr>
        <w:t>1</w:t>
      </w:r>
      <w:r w:rsidRPr="006F1A8D">
        <w:rPr>
          <w:rFonts w:ascii="Times New Roman" w:hAnsi="Times New Roman"/>
        </w:rPr>
        <w:t xml:space="preserve">О. И. Шувалова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vertAlign w:val="superscript"/>
        </w:rPr>
        <w:t>1</w:t>
      </w:r>
      <w:r w:rsidRPr="006F1A8D">
        <w:rPr>
          <w:rFonts w:ascii="Times New Roman" w:hAnsi="Times New Roman"/>
          <w:w w:val="100"/>
          <w:sz w:val="24"/>
        </w:rPr>
        <w:t>БУ ВО «</w:t>
      </w:r>
      <w:proofErr w:type="spellStart"/>
      <w:r w:rsidRPr="006F1A8D">
        <w:rPr>
          <w:rFonts w:ascii="Times New Roman" w:hAnsi="Times New Roman"/>
          <w:w w:val="100"/>
          <w:sz w:val="24"/>
        </w:rPr>
        <w:t>Сургутский</w:t>
      </w:r>
      <w:proofErr w:type="spellEnd"/>
      <w:r w:rsidRPr="006F1A8D">
        <w:rPr>
          <w:rFonts w:ascii="Times New Roman" w:hAnsi="Times New Roman"/>
          <w:w w:val="100"/>
          <w:sz w:val="24"/>
        </w:rPr>
        <w:t xml:space="preserve"> государственный университет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г. Сургут; </w:t>
      </w:r>
      <w:r w:rsidRPr="006F1A8D">
        <w:rPr>
          <w:rFonts w:ascii="Times New Roman" w:hAnsi="Times New Roman"/>
          <w:w w:val="100"/>
          <w:sz w:val="24"/>
          <w:vertAlign w:val="superscript"/>
        </w:rPr>
        <w:t>2</w:t>
      </w: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w:t>
      </w:r>
      <w:r w:rsidRPr="006F1A8D">
        <w:rPr>
          <w:rFonts w:ascii="Times New Roman" w:hAnsi="Times New Roman"/>
          <w:w w:val="100"/>
          <w:sz w:val="24"/>
        </w:rPr>
        <w:br/>
        <w:t xml:space="preserve">государственный медицинский университет» Минздрава России, г. Архангельск; </w:t>
      </w:r>
      <w:r w:rsidRPr="006F1A8D">
        <w:rPr>
          <w:rFonts w:ascii="Times New Roman" w:hAnsi="Times New Roman"/>
          <w:w w:val="100"/>
          <w:sz w:val="24"/>
          <w:vertAlign w:val="superscript"/>
        </w:rPr>
        <w:t>3</w:t>
      </w:r>
      <w:r w:rsidRPr="006F1A8D">
        <w:rPr>
          <w:rFonts w:ascii="Times New Roman" w:hAnsi="Times New Roman"/>
          <w:w w:val="100"/>
          <w:sz w:val="24"/>
        </w:rPr>
        <w:t xml:space="preserve">ФГАОУ ВО «Северный </w:t>
      </w:r>
      <w:r w:rsidRPr="006F1A8D">
        <w:rPr>
          <w:rFonts w:ascii="Times New Roman" w:hAnsi="Times New Roman"/>
          <w:w w:val="100"/>
          <w:sz w:val="24"/>
        </w:rPr>
        <w:br/>
        <w:t xml:space="preserve">(Арктический) федеральный университет имени М.В. Ломоносова» Министерства науки и высшего образования Российской федерации, г. Архангельск </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работы – выявить особенности комплексного влияния экстремальных климатических и вредных техногенных факторов на течение хронических заболеваний </w:t>
      </w:r>
      <w:r w:rsidRPr="006F1A8D">
        <w:rPr>
          <w:rFonts w:ascii="Times New Roman" w:hAnsi="Times New Roman"/>
          <w:w w:val="100"/>
          <w:sz w:val="24"/>
        </w:rPr>
        <w:lastRenderedPageBreak/>
        <w:t xml:space="preserve">внутренних органов в условиях урбанизированного Севера на примере </w:t>
      </w:r>
      <w:proofErr w:type="gramStart"/>
      <w:r w:rsidRPr="006F1A8D">
        <w:rPr>
          <w:rFonts w:ascii="Times New Roman" w:hAnsi="Times New Roman"/>
          <w:w w:val="100"/>
          <w:sz w:val="24"/>
        </w:rPr>
        <w:t>г</w:t>
      </w:r>
      <w:proofErr w:type="gramEnd"/>
      <w:r w:rsidRPr="006F1A8D">
        <w:rPr>
          <w:rFonts w:ascii="Times New Roman" w:hAnsi="Times New Roman"/>
          <w:w w:val="100"/>
          <w:sz w:val="24"/>
        </w:rPr>
        <w:t xml:space="preserve">. Сургута. </w:t>
      </w:r>
      <w:r w:rsidRPr="006F1A8D">
        <w:rPr>
          <w:rFonts w:ascii="Times New Roman" w:hAnsi="Times New Roman"/>
          <w:i/>
          <w:iCs/>
          <w:w w:val="100"/>
          <w:sz w:val="24"/>
        </w:rPr>
        <w:t>Методы</w:t>
      </w:r>
      <w:r w:rsidRPr="006F1A8D">
        <w:rPr>
          <w:rFonts w:ascii="Times New Roman" w:hAnsi="Times New Roman"/>
          <w:w w:val="100"/>
          <w:sz w:val="24"/>
        </w:rPr>
        <w:t xml:space="preserve">. </w:t>
      </w:r>
      <w:proofErr w:type="gramStart"/>
      <w:r w:rsidRPr="006F1A8D">
        <w:rPr>
          <w:rFonts w:ascii="Times New Roman" w:hAnsi="Times New Roman"/>
          <w:w w:val="100"/>
          <w:sz w:val="24"/>
        </w:rPr>
        <w:t xml:space="preserve">Проведен клинический анализ многолетней обращаемости 8 680 больных по поводу рецидивов хронических заболеваний одновременно в двух аспектах – </w:t>
      </w:r>
      <w:proofErr w:type="spellStart"/>
      <w:r w:rsidRPr="006F1A8D">
        <w:rPr>
          <w:rFonts w:ascii="Times New Roman" w:hAnsi="Times New Roman"/>
          <w:w w:val="100"/>
          <w:sz w:val="24"/>
        </w:rPr>
        <w:t>временн</w:t>
      </w:r>
      <w:r w:rsidRPr="006F1A8D">
        <w:rPr>
          <w:rFonts w:ascii="Times New Roman" w:hAnsi="Times New Roman" w:cs="Times New Roman Cyr"/>
          <w:w w:val="100"/>
          <w:sz w:val="24"/>
        </w:rPr>
        <w:t>ó</w:t>
      </w:r>
      <w:r w:rsidRPr="006F1A8D">
        <w:rPr>
          <w:rFonts w:ascii="Times New Roman" w:hAnsi="Times New Roman"/>
          <w:w w:val="100"/>
          <w:sz w:val="24"/>
        </w:rPr>
        <w:t>м</w:t>
      </w:r>
      <w:proofErr w:type="spellEnd"/>
      <w:r w:rsidRPr="006F1A8D">
        <w:rPr>
          <w:rFonts w:ascii="Times New Roman" w:hAnsi="Times New Roman"/>
          <w:w w:val="100"/>
          <w:sz w:val="24"/>
        </w:rPr>
        <w:t xml:space="preserve"> (сезонный анализ) и пространственном (территориальный анализ).</w:t>
      </w:r>
      <w:proofErr w:type="gramEnd"/>
      <w:r w:rsidRPr="006F1A8D">
        <w:rPr>
          <w:rFonts w:ascii="Times New Roman" w:hAnsi="Times New Roman"/>
          <w:w w:val="100"/>
          <w:sz w:val="24"/>
        </w:rPr>
        <w:t xml:space="preserve"> Состояние городской атмосферы оценивали по климатическим параметрам (температура атмосферного воздуха, атмосферное давление, весовое содержание кислорода в атмосфере, жесткость погоды) и уровню концентрации наиболее значимых химических загрязнителей. При территориальном анализе состояния жилых зон изучали среднегодовые выбросы наиболее значимых вредных техногенных факторов (диоксид серы, диоксид азота, оксид углерода, </w:t>
      </w:r>
      <w:proofErr w:type="spellStart"/>
      <w:r w:rsidRPr="006F1A8D">
        <w:rPr>
          <w:rFonts w:ascii="Times New Roman" w:hAnsi="Times New Roman"/>
          <w:w w:val="100"/>
          <w:sz w:val="24"/>
        </w:rPr>
        <w:t>пятиокись</w:t>
      </w:r>
      <w:proofErr w:type="spellEnd"/>
      <w:r w:rsidRPr="006F1A8D">
        <w:rPr>
          <w:rFonts w:ascii="Times New Roman" w:hAnsi="Times New Roman"/>
          <w:w w:val="100"/>
          <w:sz w:val="24"/>
        </w:rPr>
        <w:t xml:space="preserve"> ванадия, </w:t>
      </w:r>
      <w:proofErr w:type="spellStart"/>
      <w:r w:rsidRPr="006F1A8D">
        <w:rPr>
          <w:rFonts w:ascii="Times New Roman" w:hAnsi="Times New Roman"/>
          <w:w w:val="100"/>
          <w:sz w:val="24"/>
        </w:rPr>
        <w:t>бен</w:t>
      </w:r>
      <w:proofErr w:type="gramStart"/>
      <w:r w:rsidRPr="006F1A8D">
        <w:rPr>
          <w:rFonts w:ascii="Times New Roman" w:hAnsi="Times New Roman"/>
          <w:w w:val="100"/>
          <w:sz w:val="24"/>
        </w:rPr>
        <w:t>з</w:t>
      </w:r>
      <w:proofErr w:type="spellEnd"/>
      <w:r w:rsidRPr="006F1A8D">
        <w:rPr>
          <w:rFonts w:ascii="Times New Roman" w:hAnsi="Times New Roman"/>
          <w:w w:val="100"/>
          <w:sz w:val="24"/>
        </w:rPr>
        <w:t>(</w:t>
      </w:r>
      <w:proofErr w:type="gramEnd"/>
      <w:r w:rsidRPr="006F1A8D">
        <w:rPr>
          <w:rFonts w:ascii="Times New Roman" w:hAnsi="Times New Roman"/>
          <w:w w:val="100"/>
          <w:sz w:val="24"/>
        </w:rPr>
        <w:t>а)</w:t>
      </w:r>
      <w:proofErr w:type="spellStart"/>
      <w:r w:rsidRPr="006F1A8D">
        <w:rPr>
          <w:rFonts w:ascii="Times New Roman" w:hAnsi="Times New Roman"/>
          <w:w w:val="100"/>
          <w:sz w:val="24"/>
        </w:rPr>
        <w:t>пирен</w:t>
      </w:r>
      <w:proofErr w:type="spellEnd"/>
      <w:r w:rsidRPr="006F1A8D">
        <w:rPr>
          <w:rFonts w:ascii="Times New Roman" w:hAnsi="Times New Roman"/>
          <w:w w:val="100"/>
          <w:sz w:val="24"/>
        </w:rPr>
        <w:t xml:space="preserve">). </w:t>
      </w:r>
      <w:r w:rsidRPr="006F1A8D">
        <w:rPr>
          <w:rFonts w:ascii="Times New Roman" w:hAnsi="Times New Roman"/>
          <w:i/>
          <w:iCs/>
          <w:w w:val="100"/>
          <w:sz w:val="24"/>
        </w:rPr>
        <w:t>Результаты</w:t>
      </w:r>
      <w:r w:rsidRPr="006F1A8D">
        <w:rPr>
          <w:rFonts w:ascii="Times New Roman" w:hAnsi="Times New Roman"/>
          <w:w w:val="100"/>
          <w:sz w:val="24"/>
        </w:rPr>
        <w:t xml:space="preserve">. Установлены комбинации неблагоприятных </w:t>
      </w:r>
      <w:proofErr w:type="spellStart"/>
      <w:r w:rsidRPr="006F1A8D">
        <w:rPr>
          <w:rFonts w:ascii="Times New Roman" w:hAnsi="Times New Roman"/>
          <w:w w:val="100"/>
          <w:sz w:val="24"/>
        </w:rPr>
        <w:t>погодно­климатических</w:t>
      </w:r>
      <w:proofErr w:type="spellEnd"/>
      <w:r w:rsidRPr="006F1A8D">
        <w:rPr>
          <w:rFonts w:ascii="Times New Roman" w:hAnsi="Times New Roman"/>
          <w:w w:val="100"/>
          <w:sz w:val="24"/>
        </w:rPr>
        <w:t xml:space="preserve"> условий и вредных производственных загрязнителей атмосферного воздуха, доля участия которых в развитии обострений нозологических форм оказалась наиболее существенной – стенокардия: «атмосферное давление + диоксид серы»; инфаркт миокарда: «фенол + диоксид азота»; гипертоническая болезнь: «атмосферное давление + фенол + формальдегид»; хронический </w:t>
      </w:r>
      <w:proofErr w:type="spellStart"/>
      <w:r w:rsidRPr="006F1A8D">
        <w:rPr>
          <w:rFonts w:ascii="Times New Roman" w:hAnsi="Times New Roman"/>
          <w:w w:val="100"/>
          <w:sz w:val="24"/>
        </w:rPr>
        <w:t>обструктивный</w:t>
      </w:r>
      <w:proofErr w:type="spellEnd"/>
      <w:r w:rsidRPr="006F1A8D">
        <w:rPr>
          <w:rFonts w:ascii="Times New Roman" w:hAnsi="Times New Roman"/>
          <w:w w:val="100"/>
          <w:sz w:val="24"/>
        </w:rPr>
        <w:t xml:space="preserve"> бронхит: «холод + жесткость погоды + диоксид азота + оксид углерода»; бронхиальная астма: «холод + жесткость погоды + атмосферное давление + формальдегид + окись азота + фенол + диоксид азота»; язвенная болезнь: «диоксид азота + фенол + формальдегид + оксид углерода»; хронический </w:t>
      </w:r>
      <w:proofErr w:type="spellStart"/>
      <w:r w:rsidRPr="006F1A8D">
        <w:rPr>
          <w:rFonts w:ascii="Times New Roman" w:hAnsi="Times New Roman"/>
          <w:w w:val="100"/>
          <w:sz w:val="24"/>
        </w:rPr>
        <w:t>пиелонефрит</w:t>
      </w:r>
      <w:proofErr w:type="spellEnd"/>
      <w:r w:rsidRPr="006F1A8D">
        <w:rPr>
          <w:rFonts w:ascii="Times New Roman" w:hAnsi="Times New Roman"/>
          <w:w w:val="100"/>
          <w:sz w:val="24"/>
        </w:rPr>
        <w:t xml:space="preserve">: «жесткость погоды + фенол + формальдегид + диоксид азота». </w:t>
      </w:r>
      <w:r w:rsidRPr="006F1A8D">
        <w:rPr>
          <w:rFonts w:ascii="Times New Roman" w:hAnsi="Times New Roman"/>
          <w:i/>
          <w:iCs/>
          <w:w w:val="100"/>
          <w:sz w:val="24"/>
        </w:rPr>
        <w:t>Выводы</w:t>
      </w:r>
      <w:r w:rsidRPr="006F1A8D">
        <w:rPr>
          <w:rFonts w:ascii="Times New Roman" w:hAnsi="Times New Roman"/>
          <w:w w:val="100"/>
          <w:sz w:val="24"/>
        </w:rPr>
        <w:t xml:space="preserve">. </w:t>
      </w:r>
      <w:proofErr w:type="gramStart"/>
      <w:r w:rsidRPr="006F1A8D">
        <w:rPr>
          <w:rFonts w:ascii="Times New Roman" w:hAnsi="Times New Roman"/>
          <w:w w:val="100"/>
          <w:sz w:val="24"/>
        </w:rPr>
        <w:t xml:space="preserve">Изучение влияния различных экстремальных факторов окружающей среды северных урбанизированных территорий на здоровье пришлого населения является наиболее полным при использовании системного подхода, включающего в себя одновременно два основных аспекта: </w:t>
      </w:r>
      <w:proofErr w:type="spellStart"/>
      <w:r w:rsidRPr="006F1A8D">
        <w:rPr>
          <w:rFonts w:ascii="Times New Roman" w:hAnsi="Times New Roman"/>
          <w:w w:val="100"/>
          <w:sz w:val="24"/>
        </w:rPr>
        <w:t>временн</w:t>
      </w:r>
      <w:r w:rsidRPr="006F1A8D">
        <w:rPr>
          <w:rFonts w:ascii="Times New Roman" w:hAnsi="Times New Roman" w:cs="Times New Roman Cyr"/>
          <w:w w:val="100"/>
          <w:sz w:val="24"/>
        </w:rPr>
        <w:t>ó</w:t>
      </w:r>
      <w:r w:rsidRPr="006F1A8D">
        <w:rPr>
          <w:rFonts w:ascii="Times New Roman" w:hAnsi="Times New Roman"/>
          <w:w w:val="100"/>
          <w:sz w:val="24"/>
        </w:rPr>
        <w:t>й</w:t>
      </w:r>
      <w:proofErr w:type="spellEnd"/>
      <w:r w:rsidRPr="006F1A8D">
        <w:rPr>
          <w:rFonts w:ascii="Times New Roman" w:hAnsi="Times New Roman"/>
          <w:w w:val="100"/>
          <w:sz w:val="24"/>
        </w:rPr>
        <w:t xml:space="preserve">, то есть сезонное исследование комплексного воздействия климатоэкологического прессинга на организм, и пространственный – дифференцированный анализ негативного влияния техногенной нагрузки </w:t>
      </w:r>
      <w:proofErr w:type="spellStart"/>
      <w:r w:rsidRPr="006F1A8D">
        <w:rPr>
          <w:rFonts w:ascii="Times New Roman" w:hAnsi="Times New Roman"/>
          <w:w w:val="100"/>
          <w:sz w:val="24"/>
        </w:rPr>
        <w:t>разнозагрязненных</w:t>
      </w:r>
      <w:proofErr w:type="spellEnd"/>
      <w:r w:rsidRPr="006F1A8D">
        <w:rPr>
          <w:rFonts w:ascii="Times New Roman" w:hAnsi="Times New Roman"/>
          <w:w w:val="100"/>
          <w:sz w:val="24"/>
        </w:rPr>
        <w:t xml:space="preserve"> жилых зон.</w:t>
      </w:r>
      <w:proofErr w:type="gramEnd"/>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экология человека, Север, неблагоприятные </w:t>
      </w:r>
      <w:proofErr w:type="spellStart"/>
      <w:r w:rsidRPr="006F1A8D">
        <w:rPr>
          <w:rFonts w:ascii="Times New Roman" w:hAnsi="Times New Roman"/>
          <w:w w:val="100"/>
          <w:sz w:val="24"/>
        </w:rPr>
        <w:t>климатотехногенные</w:t>
      </w:r>
      <w:proofErr w:type="spellEnd"/>
      <w:r w:rsidRPr="006F1A8D">
        <w:rPr>
          <w:rFonts w:ascii="Times New Roman" w:hAnsi="Times New Roman"/>
          <w:w w:val="100"/>
          <w:sz w:val="24"/>
        </w:rPr>
        <w:t xml:space="preserve"> факторы, заболеваемость</w:t>
      </w:r>
    </w:p>
    <w:p w:rsidR="006F1A8D" w:rsidRPr="006F1A8D" w:rsidRDefault="006F1A8D" w:rsidP="006F1A8D">
      <w:pPr>
        <w:pStyle w:val="a3"/>
        <w:rPr>
          <w:rFonts w:ascii="Times New Roman" w:hAnsi="Times New Roman"/>
          <w:sz w:val="24"/>
        </w:rPr>
      </w:pPr>
    </w:p>
    <w:p w:rsidR="006F1A8D" w:rsidRPr="006F1A8D" w:rsidRDefault="006F1A8D" w:rsidP="006F1A8D">
      <w:pPr>
        <w:pStyle w:val="a4"/>
        <w:rPr>
          <w:rFonts w:ascii="Times New Roman" w:hAnsi="Times New Roman"/>
          <w:sz w:val="24"/>
        </w:rPr>
      </w:pPr>
      <w:r w:rsidRPr="006F1A8D">
        <w:rPr>
          <w:rFonts w:ascii="Times New Roman" w:hAnsi="Times New Roman"/>
          <w:sz w:val="24"/>
        </w:rPr>
        <w:t>УДК 613.1</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616­053.6</w:t>
      </w:r>
    </w:p>
    <w:p w:rsidR="006F1A8D" w:rsidRPr="006F1A8D" w:rsidRDefault="006F1A8D" w:rsidP="006F1A8D">
      <w:pPr>
        <w:pStyle w:val="a5"/>
        <w:rPr>
          <w:rFonts w:ascii="Times New Roman" w:hAnsi="Times New Roman"/>
          <w:sz w:val="24"/>
        </w:rPr>
      </w:pPr>
      <w:r w:rsidRPr="006F1A8D">
        <w:rPr>
          <w:rFonts w:ascii="Times New Roman" w:hAnsi="Times New Roman"/>
          <w:sz w:val="24"/>
        </w:rPr>
        <w:t xml:space="preserve">МЕХАНИЗМЫ АДАПТАЦИИ 14­ЛЕТНИХ ПОДРОСТКОВ ВЫСОКИХ И СРЕДНИХ ШИРОТ ЕВРОПЕЙСКОЙ ЧАСТИ РОССИИ К ТЕХНОГЕННОМУ ЗАГРЯЗНЕНИЮ </w:t>
      </w:r>
      <w:r w:rsidRPr="006F1A8D">
        <w:rPr>
          <w:rFonts w:ascii="Times New Roman" w:hAnsi="Times New Roman"/>
          <w:sz w:val="24"/>
        </w:rPr>
        <w:br/>
        <w:t>СЕЛИТЕБНЫХ ЗОН (ОБЗОР ЛИТЕРАТУРЫ)</w:t>
      </w:r>
    </w:p>
    <w:p w:rsidR="006F1A8D" w:rsidRPr="006F1A8D" w:rsidRDefault="006F1A8D" w:rsidP="006F1A8D">
      <w:pPr>
        <w:pStyle w:val="a6"/>
        <w:rPr>
          <w:rFonts w:ascii="Times New Roman" w:hAnsi="Times New Roman"/>
        </w:rPr>
      </w:pPr>
      <w:r w:rsidRPr="006F1A8D">
        <w:rPr>
          <w:rFonts w:ascii="Times New Roman" w:hAnsi="Times New Roman"/>
        </w:rPr>
        <w:t xml:space="preserve">© 2018 г. </w:t>
      </w:r>
      <w:r w:rsidRPr="006F1A8D">
        <w:rPr>
          <w:rFonts w:ascii="Times New Roman" w:hAnsi="Times New Roman"/>
          <w:vertAlign w:val="superscript"/>
        </w:rPr>
        <w:t>1</w:t>
      </w:r>
      <w:r w:rsidRPr="006F1A8D">
        <w:rPr>
          <w:rFonts w:ascii="Times New Roman" w:hAnsi="Times New Roman"/>
        </w:rPr>
        <w:t xml:space="preserve">Д. А. Кузнецова, </w:t>
      </w:r>
      <w:r w:rsidRPr="006F1A8D">
        <w:rPr>
          <w:rFonts w:ascii="Times New Roman" w:hAnsi="Times New Roman"/>
          <w:vertAlign w:val="superscript"/>
        </w:rPr>
        <w:t>2</w:t>
      </w:r>
      <w:r w:rsidRPr="006F1A8D">
        <w:rPr>
          <w:rFonts w:ascii="Times New Roman" w:hAnsi="Times New Roman"/>
        </w:rPr>
        <w:t xml:space="preserve">Е. Н. </w:t>
      </w:r>
      <w:proofErr w:type="spellStart"/>
      <w:r w:rsidRPr="006F1A8D">
        <w:rPr>
          <w:rFonts w:ascii="Times New Roman" w:hAnsi="Times New Roman"/>
        </w:rPr>
        <w:t>Сизова</w:t>
      </w:r>
      <w:proofErr w:type="spellEnd"/>
      <w:r w:rsidRPr="006F1A8D">
        <w:rPr>
          <w:rFonts w:ascii="Times New Roman" w:hAnsi="Times New Roman"/>
        </w:rPr>
        <w:t xml:space="preserve">, </w:t>
      </w:r>
      <w:r w:rsidRPr="006F1A8D">
        <w:rPr>
          <w:rFonts w:ascii="Times New Roman" w:hAnsi="Times New Roman"/>
          <w:vertAlign w:val="superscript"/>
        </w:rPr>
        <w:t>1,3</w:t>
      </w:r>
      <w:r w:rsidRPr="006F1A8D">
        <w:rPr>
          <w:rFonts w:ascii="Times New Roman" w:hAnsi="Times New Roman"/>
        </w:rPr>
        <w:t xml:space="preserve">В. И. </w:t>
      </w:r>
      <w:proofErr w:type="spellStart"/>
      <w:r w:rsidRPr="006F1A8D">
        <w:rPr>
          <w:rFonts w:ascii="Times New Roman" w:hAnsi="Times New Roman"/>
        </w:rPr>
        <w:t>Циркин</w:t>
      </w:r>
      <w:proofErr w:type="spellEnd"/>
      <w:r w:rsidRPr="006F1A8D">
        <w:rPr>
          <w:rFonts w:ascii="Times New Roman" w:hAnsi="Times New Roman"/>
        </w:rPr>
        <w:t xml:space="preserve">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vertAlign w:val="superscript"/>
        </w:rPr>
        <w:t>1</w:t>
      </w:r>
      <w:r w:rsidRPr="006F1A8D">
        <w:rPr>
          <w:rFonts w:ascii="Times New Roman" w:hAnsi="Times New Roman"/>
          <w:w w:val="100"/>
          <w:sz w:val="24"/>
        </w:rPr>
        <w:t xml:space="preserve">ФГБОУ «Вятский государственный университет», г. Киров; </w:t>
      </w:r>
      <w:r w:rsidRPr="006F1A8D">
        <w:rPr>
          <w:rFonts w:ascii="Times New Roman" w:hAnsi="Times New Roman"/>
          <w:w w:val="100"/>
          <w:sz w:val="24"/>
        </w:rPr>
        <w:br/>
      </w:r>
      <w:r w:rsidRPr="006F1A8D">
        <w:rPr>
          <w:rFonts w:ascii="Times New Roman" w:hAnsi="Times New Roman"/>
          <w:w w:val="100"/>
          <w:sz w:val="24"/>
          <w:vertAlign w:val="superscript"/>
        </w:rPr>
        <w:t>2</w:t>
      </w: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«Кировский государственный медицинский университет», г. Киров; </w:t>
      </w:r>
      <w:r w:rsidRPr="006F1A8D">
        <w:rPr>
          <w:rFonts w:ascii="Times New Roman" w:hAnsi="Times New Roman"/>
          <w:w w:val="100"/>
          <w:sz w:val="24"/>
        </w:rPr>
        <w:br/>
      </w:r>
      <w:r w:rsidRPr="006F1A8D">
        <w:rPr>
          <w:rFonts w:ascii="Times New Roman" w:hAnsi="Times New Roman"/>
          <w:w w:val="100"/>
          <w:sz w:val="24"/>
          <w:vertAlign w:val="superscript"/>
        </w:rPr>
        <w:t>3</w:t>
      </w:r>
      <w:r w:rsidRPr="006F1A8D">
        <w:rPr>
          <w:rFonts w:ascii="Times New Roman" w:hAnsi="Times New Roman"/>
          <w:w w:val="100"/>
          <w:sz w:val="24"/>
        </w:rPr>
        <w:t>ФГБОУ ВО «Казанский государственный медицинский университет», г. Казань</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Проведен обзор данных литературы по адаптации подростков к высокому уровню техногенного загрязнения с учетом географической широты места проживания. Для этого сравнили показатели физического развития, уровень здоровья, а также состояние системы транспорта кислорода и иммунной системы подростков, проживающих с момента рождения в средних широтах или на Европейском Севере в условиях высокого или </w:t>
      </w:r>
      <w:r w:rsidRPr="006F1A8D">
        <w:rPr>
          <w:rFonts w:ascii="Times New Roman" w:hAnsi="Times New Roman"/>
          <w:w w:val="100"/>
          <w:sz w:val="24"/>
        </w:rPr>
        <w:lastRenderedPageBreak/>
        <w:t>низкого уровня техногенного загрязнения. Приводятся результаты собственных исследований авторов данной статьи по четырем группам 14­летних подростков (девочек и мальчиков), проживающих с момента рождения соответственно в четырех населенных пунктах (</w:t>
      </w:r>
      <w:proofErr w:type="spellStart"/>
      <w:r w:rsidRPr="006F1A8D">
        <w:rPr>
          <w:rFonts w:ascii="Times New Roman" w:hAnsi="Times New Roman"/>
          <w:w w:val="100"/>
          <w:sz w:val="24"/>
        </w:rPr>
        <w:t>Седью</w:t>
      </w:r>
      <w:proofErr w:type="spellEnd"/>
      <w:r w:rsidRPr="006F1A8D">
        <w:rPr>
          <w:rFonts w:ascii="Times New Roman" w:hAnsi="Times New Roman"/>
          <w:w w:val="100"/>
          <w:sz w:val="24"/>
        </w:rPr>
        <w:t xml:space="preserve">, Яранск, Ухта и Киров), удовлетворяющим заданным условиям. Установлено, что механизмами адаптации подростков к высокому уровню техногенного загрязнения селитебных зон является усиление </w:t>
      </w:r>
      <w:proofErr w:type="spellStart"/>
      <w:r w:rsidRPr="006F1A8D">
        <w:rPr>
          <w:rFonts w:ascii="Times New Roman" w:hAnsi="Times New Roman"/>
          <w:w w:val="100"/>
          <w:sz w:val="24"/>
        </w:rPr>
        <w:t>эритропоэза</w:t>
      </w:r>
      <w:proofErr w:type="spellEnd"/>
      <w:r w:rsidRPr="006F1A8D">
        <w:rPr>
          <w:rFonts w:ascii="Times New Roman" w:hAnsi="Times New Roman"/>
          <w:w w:val="100"/>
          <w:sz w:val="24"/>
        </w:rPr>
        <w:t xml:space="preserve"> и усиление иммунного надзора, а платой за адаптацию – изменение темпов физического развития, снижение уровня здоровья, снижение содержания моноцитов. Показано, что механизм адаптации подростков к проживанию на Европейском Севере в условиях низкого уровня техногенного загрязнения состоит в усиление иммунного надзора, а платой за адаптацию является снижение количества эритроцитов. </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адаптация, подростки, Европейский Север, техногенное загрязнение </w:t>
      </w:r>
    </w:p>
    <w:p w:rsidR="006F1A8D" w:rsidRPr="006F1A8D" w:rsidRDefault="006F1A8D" w:rsidP="006F1A8D">
      <w:pPr>
        <w:pStyle w:val="a3"/>
        <w:rPr>
          <w:rFonts w:ascii="Times New Roman" w:hAnsi="Times New Roman"/>
          <w:sz w:val="24"/>
        </w:rPr>
      </w:pPr>
    </w:p>
    <w:p w:rsidR="006F1A8D" w:rsidRPr="00C637ED" w:rsidRDefault="006F1A8D" w:rsidP="006F1A8D">
      <w:pPr>
        <w:rPr>
          <w:rFonts w:ascii="Times New Roman" w:hAnsi="Times New Roman"/>
          <w:sz w:val="24"/>
          <w:lang w:val="en-US"/>
        </w:rPr>
      </w:pPr>
    </w:p>
    <w:p w:rsidR="006F1A8D" w:rsidRPr="00C637ED" w:rsidRDefault="006F1A8D" w:rsidP="006F1A8D">
      <w:pPr>
        <w:pStyle w:val="a4"/>
        <w:rPr>
          <w:rFonts w:ascii="Times New Roman" w:hAnsi="Times New Roman"/>
          <w:sz w:val="24"/>
          <w:lang w:val="en-US"/>
        </w:rPr>
      </w:pPr>
      <w:r w:rsidRPr="006F1A8D">
        <w:rPr>
          <w:rFonts w:ascii="Times New Roman" w:hAnsi="Times New Roman"/>
          <w:sz w:val="24"/>
        </w:rPr>
        <w:t>УДК</w:t>
      </w:r>
      <w:r w:rsidRPr="00C637ED">
        <w:rPr>
          <w:rFonts w:ascii="Times New Roman" w:hAnsi="Times New Roman"/>
          <w:sz w:val="24"/>
          <w:lang w:val="en-US"/>
        </w:rPr>
        <w:t xml:space="preserve"> 572.51­053.5</w:t>
      </w:r>
      <w:r w:rsidRPr="00C637ED">
        <w:rPr>
          <w:rFonts w:ascii="Times New Roman" w:eastAsia="MS Mincho" w:hAnsi="MS Mincho" w:cs="MS Mincho" w:hint="eastAsia"/>
          <w:sz w:val="24"/>
          <w:lang w:val="en-US"/>
        </w:rPr>
        <w:t> </w:t>
      </w:r>
      <w:r w:rsidRPr="00C637ED">
        <w:rPr>
          <w:rFonts w:ascii="Times New Roman" w:hAnsi="Times New Roman"/>
          <w:sz w:val="24"/>
          <w:lang w:val="en-US"/>
        </w:rPr>
        <w:t>(571.122)</w:t>
      </w:r>
    </w:p>
    <w:p w:rsidR="006F1A8D" w:rsidRPr="006F1A8D" w:rsidRDefault="006F1A8D" w:rsidP="006F1A8D">
      <w:pPr>
        <w:pStyle w:val="a5"/>
        <w:rPr>
          <w:rFonts w:ascii="Times New Roman" w:hAnsi="Times New Roman"/>
          <w:sz w:val="24"/>
        </w:rPr>
      </w:pPr>
      <w:r w:rsidRPr="006F1A8D">
        <w:rPr>
          <w:rFonts w:ascii="Times New Roman" w:hAnsi="Times New Roman"/>
          <w:sz w:val="24"/>
        </w:rPr>
        <w:t xml:space="preserve">ФИЗИЧЕСКОЕ РАЗВИТИЕ УЧАЩИХСЯ СРЕДНЕГО ШКОЛЬНОГО ВОЗРАСТА, ПРОЖИВАЮЩИХ НА ТЕРРИТОРИИ ХАНТЫ­МАНСИЙСКОГО </w:t>
      </w:r>
      <w:r w:rsidRPr="006F1A8D">
        <w:rPr>
          <w:rFonts w:ascii="Times New Roman" w:hAnsi="Times New Roman"/>
          <w:sz w:val="24"/>
        </w:rPr>
        <w:br/>
        <w:t xml:space="preserve">АВТОНОМНОГО ОКРУГА – ЮГРЫ </w:t>
      </w:r>
    </w:p>
    <w:p w:rsidR="006F1A8D" w:rsidRPr="006F1A8D" w:rsidRDefault="006F1A8D" w:rsidP="006F1A8D">
      <w:pPr>
        <w:pStyle w:val="a6"/>
        <w:rPr>
          <w:rFonts w:ascii="Times New Roman" w:hAnsi="Times New Roman"/>
        </w:rPr>
      </w:pPr>
      <w:r w:rsidRPr="006F1A8D">
        <w:rPr>
          <w:rFonts w:ascii="Times New Roman" w:hAnsi="Times New Roman"/>
        </w:rPr>
        <w:t xml:space="preserve">© 2018 г. О. Л. Нифонтова, К. С. </w:t>
      </w:r>
      <w:proofErr w:type="spellStart"/>
      <w:r w:rsidRPr="006F1A8D">
        <w:rPr>
          <w:rFonts w:ascii="Times New Roman" w:hAnsi="Times New Roman"/>
        </w:rPr>
        <w:t>Конькова</w:t>
      </w:r>
      <w:proofErr w:type="spellEnd"/>
      <w:r w:rsidRPr="006F1A8D">
        <w:rPr>
          <w:rFonts w:ascii="Times New Roman" w:hAnsi="Times New Roman"/>
        </w:rPr>
        <w:t xml:space="preserve">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БУ ВО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Сургутский</w:t>
      </w:r>
      <w:proofErr w:type="spellEnd"/>
      <w:r w:rsidRPr="006F1A8D">
        <w:rPr>
          <w:rFonts w:ascii="Times New Roman" w:hAnsi="Times New Roman"/>
          <w:w w:val="100"/>
          <w:sz w:val="24"/>
        </w:rPr>
        <w:t xml:space="preserve"> государственный педагогический университет», </w:t>
      </w:r>
      <w:proofErr w:type="gramStart"/>
      <w:r w:rsidRPr="006F1A8D">
        <w:rPr>
          <w:rFonts w:ascii="Times New Roman" w:hAnsi="Times New Roman"/>
          <w:w w:val="100"/>
          <w:sz w:val="24"/>
        </w:rPr>
        <w:t>г</w:t>
      </w:r>
      <w:proofErr w:type="gramEnd"/>
      <w:r w:rsidRPr="006F1A8D">
        <w:rPr>
          <w:rFonts w:ascii="Times New Roman" w:hAnsi="Times New Roman"/>
          <w:w w:val="100"/>
          <w:sz w:val="24"/>
        </w:rPr>
        <w:t>. Сургут</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Проведено комплексное антропометрическое обследование 225 школьников муниципальных образовательных учреждений </w:t>
      </w:r>
      <w:proofErr w:type="spellStart"/>
      <w:r w:rsidRPr="006F1A8D">
        <w:rPr>
          <w:rFonts w:ascii="Times New Roman" w:hAnsi="Times New Roman"/>
          <w:w w:val="100"/>
          <w:sz w:val="24"/>
        </w:rPr>
        <w:t>Сургутского</w:t>
      </w:r>
      <w:proofErr w:type="spellEnd"/>
      <w:r w:rsidRPr="006F1A8D">
        <w:rPr>
          <w:rFonts w:ascii="Times New Roman" w:hAnsi="Times New Roman"/>
          <w:w w:val="100"/>
          <w:sz w:val="24"/>
        </w:rPr>
        <w:t xml:space="preserve"> района </w:t>
      </w:r>
      <w:proofErr w:type="spellStart"/>
      <w:r w:rsidRPr="006F1A8D">
        <w:rPr>
          <w:rFonts w:ascii="Times New Roman" w:hAnsi="Times New Roman"/>
          <w:w w:val="100"/>
          <w:sz w:val="24"/>
        </w:rPr>
        <w:t>Ханты­Мансийского</w:t>
      </w:r>
      <w:proofErr w:type="spellEnd"/>
      <w:r w:rsidRPr="006F1A8D">
        <w:rPr>
          <w:rFonts w:ascii="Times New Roman" w:hAnsi="Times New Roman"/>
          <w:w w:val="100"/>
          <w:sz w:val="24"/>
        </w:rPr>
        <w:t xml:space="preserve"> автономного округа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r w:rsidRPr="006F1A8D">
        <w:rPr>
          <w:rFonts w:ascii="Times New Roman" w:hAnsi="Times New Roman"/>
          <w:i/>
          <w:iCs/>
          <w:w w:val="100"/>
          <w:sz w:val="24"/>
        </w:rPr>
        <w:t>Целью</w:t>
      </w:r>
      <w:r w:rsidRPr="006F1A8D">
        <w:rPr>
          <w:rFonts w:ascii="Times New Roman" w:hAnsi="Times New Roman"/>
          <w:w w:val="100"/>
          <w:sz w:val="24"/>
        </w:rPr>
        <w:t xml:space="preserve"> работы явилась оценка физического развития детей среднего школьного возраста, постоянно проживающих на территории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r w:rsidRPr="006F1A8D">
        <w:rPr>
          <w:rFonts w:ascii="Times New Roman" w:hAnsi="Times New Roman"/>
          <w:i/>
          <w:iCs/>
          <w:w w:val="100"/>
          <w:sz w:val="24"/>
        </w:rPr>
        <w:t>Методы</w:t>
      </w:r>
      <w:r w:rsidRPr="006F1A8D">
        <w:rPr>
          <w:rFonts w:ascii="Times New Roman" w:hAnsi="Times New Roman"/>
          <w:w w:val="100"/>
          <w:sz w:val="24"/>
        </w:rPr>
        <w:t xml:space="preserve">. По общепринятым методикам исследования регистрировали основные антропометрические показатели: длину (ДТ) и массу тела (МТ), окружность грудной клетки (ОГК). Для оценки физического развития детей рассчитывали весоростовые индексы, индексы пропорциональности и определяли тип телосложения. Из общего числа обследованных были выделены следующие группы: представители коренных малочисленных народов Севера ханты, приезжающие на учебный период в </w:t>
      </w:r>
      <w:proofErr w:type="spellStart"/>
      <w:r w:rsidRPr="006F1A8D">
        <w:rPr>
          <w:rFonts w:ascii="Times New Roman" w:hAnsi="Times New Roman"/>
          <w:w w:val="100"/>
          <w:sz w:val="24"/>
        </w:rPr>
        <w:t>школы­интернаты</w:t>
      </w:r>
      <w:proofErr w:type="spellEnd"/>
      <w:r w:rsidRPr="006F1A8D">
        <w:rPr>
          <w:rFonts w:ascii="Times New Roman" w:hAnsi="Times New Roman"/>
          <w:w w:val="100"/>
          <w:sz w:val="24"/>
        </w:rPr>
        <w:t xml:space="preserve">; метисы первого поколения, у которых один из родителей представитель ханты; потомки пришлого населения. Каждую группу дополнительно делили по половому признаку. </w:t>
      </w:r>
      <w:r w:rsidRPr="006F1A8D">
        <w:rPr>
          <w:rFonts w:ascii="Times New Roman" w:hAnsi="Times New Roman"/>
          <w:i/>
          <w:iCs/>
          <w:w w:val="100"/>
          <w:sz w:val="24"/>
        </w:rPr>
        <w:t>Результаты</w:t>
      </w:r>
      <w:r w:rsidRPr="006F1A8D">
        <w:rPr>
          <w:rFonts w:ascii="Times New Roman" w:hAnsi="Times New Roman"/>
          <w:w w:val="100"/>
          <w:sz w:val="24"/>
        </w:rPr>
        <w:t xml:space="preserve">. Установлено, что основные антропометрические показатели у метисов занимали промежуточное положение между данными групп сравнения. Значения ДТ метисов были более близки к таковым у потомков пришлого населения, а МТ и ОГК – к показателям представителей коренных малочисленных народов Севера. По показателям плотности тела, пропорциональности развития тела и направленности ростовых процессов метисы были более схожи со </w:t>
      </w:r>
      <w:proofErr w:type="spellStart"/>
      <w:r w:rsidRPr="006F1A8D">
        <w:rPr>
          <w:rFonts w:ascii="Times New Roman" w:hAnsi="Times New Roman"/>
          <w:w w:val="100"/>
          <w:sz w:val="24"/>
        </w:rPr>
        <w:t>школьниками­ханты</w:t>
      </w:r>
      <w:proofErr w:type="spellEnd"/>
      <w:r w:rsidRPr="006F1A8D">
        <w:rPr>
          <w:rFonts w:ascii="Times New Roman" w:hAnsi="Times New Roman"/>
          <w:w w:val="100"/>
          <w:sz w:val="24"/>
        </w:rPr>
        <w:t xml:space="preserve">. </w:t>
      </w:r>
      <w:r w:rsidRPr="006F1A8D">
        <w:rPr>
          <w:rFonts w:ascii="Times New Roman" w:hAnsi="Times New Roman"/>
          <w:i/>
          <w:iCs/>
          <w:w w:val="100"/>
          <w:sz w:val="24"/>
        </w:rPr>
        <w:t>Выводы</w:t>
      </w:r>
      <w:r w:rsidRPr="006F1A8D">
        <w:rPr>
          <w:rFonts w:ascii="Times New Roman" w:hAnsi="Times New Roman"/>
          <w:w w:val="100"/>
          <w:sz w:val="24"/>
        </w:rPr>
        <w:t xml:space="preserve">. Вероятно, адаптация пришлого населения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к </w:t>
      </w:r>
      <w:proofErr w:type="spellStart"/>
      <w:r w:rsidRPr="006F1A8D">
        <w:rPr>
          <w:rFonts w:ascii="Times New Roman" w:hAnsi="Times New Roman"/>
          <w:w w:val="100"/>
          <w:sz w:val="24"/>
        </w:rPr>
        <w:lastRenderedPageBreak/>
        <w:t>природно­климатическим</w:t>
      </w:r>
      <w:proofErr w:type="spellEnd"/>
      <w:r w:rsidRPr="006F1A8D">
        <w:rPr>
          <w:rFonts w:ascii="Times New Roman" w:hAnsi="Times New Roman"/>
          <w:w w:val="100"/>
          <w:sz w:val="24"/>
        </w:rPr>
        <w:t xml:space="preserve"> факторам происходит через </w:t>
      </w:r>
      <w:proofErr w:type="spellStart"/>
      <w:r w:rsidRPr="006F1A8D">
        <w:rPr>
          <w:rFonts w:ascii="Times New Roman" w:hAnsi="Times New Roman"/>
          <w:w w:val="100"/>
          <w:sz w:val="24"/>
        </w:rPr>
        <w:t>метисацию</w:t>
      </w:r>
      <w:proofErr w:type="spellEnd"/>
      <w:r w:rsidRPr="006F1A8D">
        <w:rPr>
          <w:rFonts w:ascii="Times New Roman" w:hAnsi="Times New Roman"/>
          <w:w w:val="100"/>
          <w:sz w:val="24"/>
        </w:rPr>
        <w:t xml:space="preserve"> с преимущественным наследованием антропометрических признаков коренных малочисленных народов Севера. </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физическое развитие, школьники, Север, </w:t>
      </w:r>
      <w:proofErr w:type="spellStart"/>
      <w:r w:rsidRPr="006F1A8D">
        <w:rPr>
          <w:rFonts w:ascii="Times New Roman" w:hAnsi="Times New Roman"/>
          <w:w w:val="100"/>
          <w:sz w:val="24"/>
        </w:rPr>
        <w:t>метисация</w:t>
      </w:r>
      <w:proofErr w:type="spellEnd"/>
    </w:p>
    <w:p w:rsidR="006F1A8D" w:rsidRPr="006F1A8D" w:rsidRDefault="006F1A8D" w:rsidP="006F1A8D">
      <w:pPr>
        <w:pStyle w:val="a3"/>
        <w:rPr>
          <w:rFonts w:ascii="Times New Roman" w:hAnsi="Times New Roman"/>
          <w:sz w:val="24"/>
        </w:rPr>
      </w:pPr>
    </w:p>
    <w:p w:rsidR="006F1A8D" w:rsidRPr="00C637ED" w:rsidRDefault="006F1A8D" w:rsidP="006F1A8D">
      <w:pPr>
        <w:rPr>
          <w:rFonts w:ascii="Times New Roman" w:hAnsi="Times New Roman"/>
          <w:sz w:val="24"/>
          <w:lang w:val="en-US"/>
        </w:rPr>
      </w:pPr>
    </w:p>
    <w:p w:rsidR="006F1A8D" w:rsidRPr="00C637ED" w:rsidRDefault="006F1A8D" w:rsidP="006F1A8D">
      <w:pPr>
        <w:pStyle w:val="a4"/>
        <w:spacing w:after="0"/>
        <w:rPr>
          <w:rFonts w:ascii="Times New Roman" w:hAnsi="Times New Roman"/>
          <w:sz w:val="24"/>
          <w:lang w:val="en-US"/>
        </w:rPr>
      </w:pPr>
      <w:r w:rsidRPr="006F1A8D">
        <w:rPr>
          <w:rFonts w:ascii="Times New Roman" w:hAnsi="Times New Roman"/>
          <w:sz w:val="24"/>
        </w:rPr>
        <w:t>УДК</w:t>
      </w:r>
      <w:r w:rsidRPr="00C637ED">
        <w:rPr>
          <w:rFonts w:ascii="Times New Roman" w:hAnsi="Times New Roman"/>
          <w:sz w:val="24"/>
          <w:lang w:val="en-US"/>
        </w:rPr>
        <w:t xml:space="preserve"> 612.172.4­053.4</w:t>
      </w:r>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ВАРИАБЕЛЬНОСТЬ ЭЛЕМЕНТОВ ЭЛЕКТРОКАРДИОГРАММЫ </w:t>
      </w:r>
      <w:r w:rsidRPr="006F1A8D">
        <w:rPr>
          <w:rFonts w:ascii="Times New Roman" w:hAnsi="Times New Roman"/>
          <w:sz w:val="24"/>
        </w:rPr>
        <w:br/>
        <w:t xml:space="preserve">6–7­ЛЕТНИХ ДЕТЕЙ ПОД ВОЗДЕЙСТВИЕМ ФИЗИЧЕСКИХ НАГРУЗОК </w:t>
      </w:r>
      <w:r w:rsidRPr="006F1A8D">
        <w:rPr>
          <w:rFonts w:ascii="Times New Roman" w:hAnsi="Times New Roman"/>
          <w:sz w:val="24"/>
        </w:rPr>
        <w:br/>
        <w:t xml:space="preserve">В УСЛОВИЯХ ЕВРОПЕЙСКОГО СЕВЕРА </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Н. Г. Русских, Л. И. </w:t>
      </w:r>
      <w:proofErr w:type="spellStart"/>
      <w:r w:rsidRPr="006F1A8D">
        <w:rPr>
          <w:rFonts w:ascii="Times New Roman" w:hAnsi="Times New Roman"/>
        </w:rPr>
        <w:t>Иржак</w:t>
      </w:r>
      <w:proofErr w:type="spellEnd"/>
      <w:r w:rsidRPr="006F1A8D">
        <w:rPr>
          <w:rFonts w:ascii="Times New Roman" w:hAnsi="Times New Roman"/>
        </w:rPr>
        <w:t xml:space="preserve">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«Сыктывкарский государственный университет им. Питирима Сорокина», г. Сыктывкар</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исследования – определить длительности интервалов РР, РТ, PQ, QT и сегмента </w:t>
      </w:r>
      <w:proofErr w:type="gramStart"/>
      <w:r w:rsidRPr="006F1A8D">
        <w:rPr>
          <w:rFonts w:ascii="Times New Roman" w:hAnsi="Times New Roman"/>
          <w:w w:val="100"/>
          <w:sz w:val="24"/>
        </w:rPr>
        <w:t>ТР</w:t>
      </w:r>
      <w:proofErr w:type="gramEnd"/>
      <w:r w:rsidRPr="006F1A8D">
        <w:rPr>
          <w:rFonts w:ascii="Times New Roman" w:hAnsi="Times New Roman"/>
          <w:w w:val="100"/>
          <w:sz w:val="24"/>
        </w:rPr>
        <w:t xml:space="preserve"> в двух группах детей обоих полов в возрасте 6–7 лет в контроле и под воздействием активной ортостатической пробы (АОП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20) и пробы Мартине (ПМ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15). </w:t>
      </w:r>
      <w:r w:rsidRPr="006F1A8D">
        <w:rPr>
          <w:rFonts w:ascii="Times New Roman" w:hAnsi="Times New Roman"/>
          <w:i/>
          <w:iCs/>
          <w:w w:val="100"/>
          <w:sz w:val="24"/>
        </w:rPr>
        <w:t>Методы</w:t>
      </w:r>
      <w:r w:rsidRPr="006F1A8D">
        <w:rPr>
          <w:rFonts w:ascii="Times New Roman" w:hAnsi="Times New Roman"/>
          <w:w w:val="100"/>
          <w:sz w:val="24"/>
        </w:rPr>
        <w:t xml:space="preserve">. Изучали длительности </w:t>
      </w:r>
      <w:proofErr w:type="spellStart"/>
      <w:r w:rsidRPr="006F1A8D">
        <w:rPr>
          <w:rFonts w:ascii="Times New Roman" w:hAnsi="Times New Roman"/>
          <w:w w:val="100"/>
          <w:sz w:val="24"/>
        </w:rPr>
        <w:t>ЭКГ­интервалов</w:t>
      </w:r>
      <w:proofErr w:type="spellEnd"/>
      <w:r w:rsidRPr="006F1A8D">
        <w:rPr>
          <w:rFonts w:ascii="Times New Roman" w:hAnsi="Times New Roman"/>
          <w:w w:val="100"/>
          <w:sz w:val="24"/>
        </w:rPr>
        <w:t xml:space="preserve"> на электрокардиограмме во II стандартном отведении до и после применения АОП и ПМ. Представлены средние значения (M ± SD) и </w:t>
      </w:r>
      <w:proofErr w:type="spellStart"/>
      <w:r w:rsidRPr="006F1A8D">
        <w:rPr>
          <w:rFonts w:ascii="Times New Roman" w:hAnsi="Times New Roman"/>
          <w:w w:val="100"/>
          <w:sz w:val="24"/>
        </w:rPr>
        <w:t>кардиоинтервалограммы</w:t>
      </w:r>
      <w:proofErr w:type="spellEnd"/>
      <w:r w:rsidRPr="006F1A8D">
        <w:rPr>
          <w:rFonts w:ascii="Times New Roman" w:hAnsi="Times New Roman"/>
          <w:w w:val="100"/>
          <w:sz w:val="24"/>
        </w:rPr>
        <w:t xml:space="preserve"> длительностей элементов ЭКГ до и после функциональных проб. </w:t>
      </w:r>
      <w:r w:rsidRPr="006F1A8D">
        <w:rPr>
          <w:rFonts w:ascii="Times New Roman" w:hAnsi="Times New Roman"/>
          <w:i/>
          <w:iCs/>
          <w:w w:val="100"/>
          <w:sz w:val="24"/>
        </w:rPr>
        <w:t>Результаты</w:t>
      </w:r>
      <w:r w:rsidRPr="006F1A8D">
        <w:rPr>
          <w:rFonts w:ascii="Times New Roman" w:hAnsi="Times New Roman"/>
          <w:w w:val="100"/>
          <w:sz w:val="24"/>
        </w:rPr>
        <w:t>. При АОП частота сердечных сокращений (ЧСС) увеличилась на 24</w:t>
      </w:r>
      <w:r w:rsidRPr="006F1A8D">
        <w:rPr>
          <w:rFonts w:ascii="Times New Roman"/>
          <w:w w:val="100"/>
          <w:sz w:val="24"/>
        </w:rPr>
        <w:t> </w:t>
      </w:r>
      <w:r w:rsidRPr="006F1A8D">
        <w:rPr>
          <w:rFonts w:ascii="Times New Roman" w:hAnsi="Times New Roman"/>
          <w:w w:val="100"/>
          <w:sz w:val="24"/>
        </w:rPr>
        <w:t>%, длительность интервала РР уменьшилась на 15</w:t>
      </w:r>
      <w:r w:rsidRPr="006F1A8D">
        <w:rPr>
          <w:rFonts w:ascii="Times New Roman"/>
          <w:w w:val="100"/>
          <w:sz w:val="24"/>
        </w:rPr>
        <w:t> </w:t>
      </w:r>
      <w:r w:rsidRPr="006F1A8D">
        <w:rPr>
          <w:rFonts w:ascii="Times New Roman" w:hAnsi="Times New Roman"/>
          <w:w w:val="100"/>
          <w:sz w:val="24"/>
        </w:rPr>
        <w:t>%, РТ – на 4</w:t>
      </w:r>
      <w:r w:rsidRPr="006F1A8D">
        <w:rPr>
          <w:rFonts w:ascii="Times New Roman"/>
          <w:w w:val="100"/>
          <w:sz w:val="24"/>
        </w:rPr>
        <w:t> </w:t>
      </w:r>
      <w:r w:rsidRPr="006F1A8D">
        <w:rPr>
          <w:rFonts w:ascii="Times New Roman" w:hAnsi="Times New Roman"/>
          <w:w w:val="100"/>
          <w:sz w:val="24"/>
        </w:rPr>
        <w:t>%, QT – на 9</w:t>
      </w:r>
      <w:r w:rsidRPr="006F1A8D">
        <w:rPr>
          <w:rFonts w:ascii="Times New Roman"/>
          <w:w w:val="100"/>
          <w:sz w:val="24"/>
        </w:rPr>
        <w:t> </w:t>
      </w:r>
      <w:r w:rsidRPr="006F1A8D">
        <w:rPr>
          <w:rFonts w:ascii="Times New Roman" w:hAnsi="Times New Roman"/>
          <w:w w:val="100"/>
          <w:sz w:val="24"/>
        </w:rPr>
        <w:t xml:space="preserve">%, сегмента </w:t>
      </w:r>
      <w:proofErr w:type="gramStart"/>
      <w:r w:rsidRPr="006F1A8D">
        <w:rPr>
          <w:rFonts w:ascii="Times New Roman" w:hAnsi="Times New Roman"/>
          <w:w w:val="100"/>
          <w:sz w:val="24"/>
        </w:rPr>
        <w:t>ТР</w:t>
      </w:r>
      <w:proofErr w:type="gramEnd"/>
      <w:r w:rsidRPr="006F1A8D">
        <w:rPr>
          <w:rFonts w:ascii="Times New Roman" w:hAnsi="Times New Roman"/>
          <w:w w:val="100"/>
          <w:sz w:val="24"/>
        </w:rPr>
        <w:t xml:space="preserve"> – на 38</w:t>
      </w:r>
      <w:r w:rsidRPr="006F1A8D">
        <w:rPr>
          <w:rFonts w:ascii="Times New Roman"/>
          <w:w w:val="100"/>
          <w:sz w:val="24"/>
        </w:rPr>
        <w:t> </w:t>
      </w:r>
      <w:r w:rsidRPr="006F1A8D">
        <w:rPr>
          <w:rFonts w:ascii="Times New Roman" w:hAnsi="Times New Roman"/>
          <w:w w:val="100"/>
          <w:sz w:val="24"/>
        </w:rPr>
        <w:t>%, а длительность интервала РQ незначительно увеличилась на 8</w:t>
      </w:r>
      <w:r w:rsidRPr="006F1A8D">
        <w:rPr>
          <w:rFonts w:ascii="Times New Roman"/>
          <w:w w:val="100"/>
          <w:sz w:val="24"/>
        </w:rPr>
        <w:t> </w:t>
      </w:r>
      <w:r w:rsidRPr="006F1A8D">
        <w:rPr>
          <w:rFonts w:ascii="Times New Roman" w:hAnsi="Times New Roman"/>
          <w:w w:val="100"/>
          <w:sz w:val="24"/>
        </w:rPr>
        <w:t>%. При ПМ ЧСС увеличилась на 21</w:t>
      </w:r>
      <w:r w:rsidRPr="006F1A8D">
        <w:rPr>
          <w:rFonts w:ascii="Times New Roman"/>
          <w:w w:val="100"/>
          <w:sz w:val="24"/>
        </w:rPr>
        <w:t> </w:t>
      </w:r>
      <w:r w:rsidRPr="006F1A8D">
        <w:rPr>
          <w:rFonts w:ascii="Times New Roman" w:hAnsi="Times New Roman"/>
          <w:w w:val="100"/>
          <w:sz w:val="24"/>
        </w:rPr>
        <w:t>%, остальные показатели изменились на 17, 5, 3 и 50</w:t>
      </w:r>
      <w:r w:rsidRPr="006F1A8D">
        <w:rPr>
          <w:rFonts w:ascii="Times New Roman"/>
          <w:w w:val="100"/>
          <w:sz w:val="24"/>
        </w:rPr>
        <w:t> </w:t>
      </w:r>
      <w:r w:rsidRPr="006F1A8D">
        <w:rPr>
          <w:rFonts w:ascii="Times New Roman" w:hAnsi="Times New Roman"/>
          <w:w w:val="100"/>
          <w:sz w:val="24"/>
        </w:rPr>
        <w:t xml:space="preserve">% соответственно. Интервал PQ остался без изменений. Отмечены корреляции разных уровней до и после проб между следующими показателями: ЧСС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0,67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0,36 (ПМ), РР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0,69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0,26 (ПМ), РТ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0,93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0,74 (ПМ), РQ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0,78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0,67 (ПМ), QТ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0,83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0,65 (ПМ) и </w:t>
      </w:r>
      <w:proofErr w:type="gramStart"/>
      <w:r w:rsidRPr="006F1A8D">
        <w:rPr>
          <w:rFonts w:ascii="Times New Roman" w:hAnsi="Times New Roman"/>
          <w:w w:val="100"/>
          <w:sz w:val="24"/>
        </w:rPr>
        <w:t>ТР</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0,56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0,37 (ПМ). </w:t>
      </w:r>
      <w:r w:rsidRPr="006F1A8D">
        <w:rPr>
          <w:rFonts w:ascii="Times New Roman" w:hAnsi="Times New Roman"/>
          <w:i/>
          <w:iCs/>
          <w:w w:val="100"/>
          <w:sz w:val="24"/>
        </w:rPr>
        <w:t>Выводы</w:t>
      </w:r>
      <w:r w:rsidRPr="006F1A8D">
        <w:rPr>
          <w:rFonts w:ascii="Times New Roman" w:hAnsi="Times New Roman"/>
          <w:w w:val="100"/>
          <w:sz w:val="24"/>
        </w:rPr>
        <w:t>. В результате действия двух функциональных проб на сердечно­сосудистую систему детей увеличивается ЧСС и сокращается длительность интервалов ЭКГ. Вариабельность показателей становится меньше по сравнению с контролем. Наиболее существенно изменяются показатели сегмента ТР.</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дети, </w:t>
      </w:r>
      <w:proofErr w:type="spellStart"/>
      <w:r w:rsidRPr="006F1A8D">
        <w:rPr>
          <w:rFonts w:ascii="Times New Roman" w:hAnsi="Times New Roman"/>
          <w:w w:val="100"/>
          <w:sz w:val="24"/>
        </w:rPr>
        <w:t>кардиоинтервалы</w:t>
      </w:r>
      <w:proofErr w:type="spellEnd"/>
      <w:r w:rsidRPr="006F1A8D">
        <w:rPr>
          <w:rFonts w:ascii="Times New Roman" w:hAnsi="Times New Roman"/>
          <w:w w:val="100"/>
          <w:sz w:val="24"/>
        </w:rPr>
        <w:t xml:space="preserve">, электрокардиограмма, Европейский Север, проба </w:t>
      </w:r>
      <w:proofErr w:type="gramStart"/>
      <w:r w:rsidRPr="006F1A8D">
        <w:rPr>
          <w:rFonts w:ascii="Times New Roman" w:hAnsi="Times New Roman"/>
          <w:w w:val="100"/>
          <w:sz w:val="24"/>
        </w:rPr>
        <w:t>Мартине</w:t>
      </w:r>
      <w:proofErr w:type="gramEnd"/>
      <w:r w:rsidRPr="006F1A8D">
        <w:rPr>
          <w:rFonts w:ascii="Times New Roman" w:hAnsi="Times New Roman"/>
          <w:w w:val="100"/>
          <w:sz w:val="24"/>
        </w:rPr>
        <w:t>, активная ортостатическая проба, ЧСС</w:t>
      </w:r>
    </w:p>
    <w:p w:rsidR="006F1A8D" w:rsidRPr="006F1A8D" w:rsidRDefault="006F1A8D" w:rsidP="006F1A8D">
      <w:pPr>
        <w:pStyle w:val="a3"/>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rPr>
          <w:rFonts w:ascii="Times New Roman" w:hAnsi="Times New Roman"/>
          <w:sz w:val="24"/>
        </w:rPr>
      </w:pPr>
      <w:r w:rsidRPr="006F1A8D">
        <w:rPr>
          <w:rFonts w:ascii="Times New Roman" w:hAnsi="Times New Roman"/>
          <w:sz w:val="24"/>
        </w:rPr>
        <w:t>УДК 612.172.2</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616­001.186</w:t>
      </w:r>
    </w:p>
    <w:p w:rsidR="006F1A8D" w:rsidRPr="006F1A8D" w:rsidRDefault="006F1A8D" w:rsidP="006F1A8D">
      <w:pPr>
        <w:pStyle w:val="a5"/>
        <w:rPr>
          <w:rFonts w:ascii="Times New Roman" w:hAnsi="Times New Roman"/>
          <w:sz w:val="24"/>
        </w:rPr>
      </w:pPr>
      <w:r w:rsidRPr="006F1A8D">
        <w:rPr>
          <w:rFonts w:ascii="Times New Roman" w:hAnsi="Times New Roman"/>
          <w:sz w:val="24"/>
        </w:rPr>
        <w:t>ПАРАМЕТРЫ КАРДИОИНТЕРВАЛОВ ИСПЫТУЕМЫХ В УСЛОВИЯХ ГИПОТЕРМИИ</w:t>
      </w:r>
    </w:p>
    <w:p w:rsidR="006F1A8D" w:rsidRPr="006F1A8D" w:rsidRDefault="006F1A8D" w:rsidP="006F1A8D">
      <w:pPr>
        <w:pStyle w:val="a6"/>
        <w:rPr>
          <w:rFonts w:ascii="Times New Roman" w:hAnsi="Times New Roman"/>
        </w:rPr>
      </w:pPr>
      <w:r w:rsidRPr="006F1A8D">
        <w:rPr>
          <w:rFonts w:ascii="Times New Roman" w:hAnsi="Times New Roman"/>
        </w:rPr>
        <w:t xml:space="preserve">© 2018 г. В. М. Еськов, Д. В. </w:t>
      </w:r>
      <w:proofErr w:type="spellStart"/>
      <w:r w:rsidRPr="006F1A8D">
        <w:rPr>
          <w:rFonts w:ascii="Times New Roman" w:hAnsi="Times New Roman"/>
        </w:rPr>
        <w:t>Белощенко</w:t>
      </w:r>
      <w:proofErr w:type="spellEnd"/>
      <w:r w:rsidRPr="006F1A8D">
        <w:rPr>
          <w:rFonts w:ascii="Times New Roman" w:hAnsi="Times New Roman"/>
        </w:rPr>
        <w:t xml:space="preserve">, Ю. В. Башкатова, *Л. К. </w:t>
      </w:r>
      <w:proofErr w:type="spellStart"/>
      <w:r w:rsidRPr="006F1A8D">
        <w:rPr>
          <w:rFonts w:ascii="Times New Roman" w:hAnsi="Times New Roman"/>
        </w:rPr>
        <w:t>Иляшенко</w:t>
      </w:r>
      <w:proofErr w:type="spellEnd"/>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БУ ВО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Сургутский</w:t>
      </w:r>
      <w:proofErr w:type="spellEnd"/>
      <w:r w:rsidRPr="006F1A8D">
        <w:rPr>
          <w:rFonts w:ascii="Times New Roman" w:hAnsi="Times New Roman"/>
          <w:w w:val="100"/>
          <w:sz w:val="24"/>
        </w:rPr>
        <w:t xml:space="preserve"> государственный университет», г. Сургут; *Филиал 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«Тюменский индустриальный университет» Министерства науки и высшего образования Российской Федерации, г. Сургут </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Изучение функционального состояния организма человека, проживающего в условиях Севера Российской Федерации, представляет особый интерес в рамках теории хаоса – самоорганизации. </w:t>
      </w:r>
      <w:r w:rsidRPr="006F1A8D">
        <w:rPr>
          <w:rFonts w:ascii="Times New Roman" w:hAnsi="Times New Roman"/>
          <w:i/>
          <w:iCs/>
          <w:w w:val="100"/>
          <w:sz w:val="24"/>
        </w:rPr>
        <w:t>Цель</w:t>
      </w:r>
      <w:r w:rsidRPr="006F1A8D">
        <w:rPr>
          <w:rFonts w:ascii="Times New Roman" w:hAnsi="Times New Roman"/>
          <w:w w:val="100"/>
          <w:sz w:val="24"/>
        </w:rPr>
        <w:t xml:space="preserve"> исследования – выявить особенности вариабельности сердечного ритма при локальном </w:t>
      </w:r>
      <w:proofErr w:type="spellStart"/>
      <w:r w:rsidRPr="006F1A8D">
        <w:rPr>
          <w:rFonts w:ascii="Times New Roman" w:hAnsi="Times New Roman"/>
          <w:w w:val="100"/>
          <w:sz w:val="24"/>
        </w:rPr>
        <w:t>гипотермическом</w:t>
      </w:r>
      <w:proofErr w:type="spellEnd"/>
      <w:r w:rsidRPr="006F1A8D">
        <w:rPr>
          <w:rFonts w:ascii="Times New Roman" w:hAnsi="Times New Roman"/>
          <w:w w:val="100"/>
          <w:sz w:val="24"/>
        </w:rPr>
        <w:t xml:space="preserve"> воздействии. </w:t>
      </w:r>
      <w:r w:rsidRPr="006F1A8D">
        <w:rPr>
          <w:rFonts w:ascii="Times New Roman" w:hAnsi="Times New Roman"/>
          <w:i/>
          <w:iCs/>
          <w:w w:val="100"/>
          <w:sz w:val="24"/>
        </w:rPr>
        <w:t>Методы</w:t>
      </w:r>
      <w:r w:rsidRPr="006F1A8D">
        <w:rPr>
          <w:rFonts w:ascii="Times New Roman" w:hAnsi="Times New Roman"/>
          <w:w w:val="100"/>
          <w:sz w:val="24"/>
        </w:rPr>
        <w:t xml:space="preserve">. Использовался традиционный стохастический подход – расчет статистических функций распределения </w:t>
      </w:r>
      <w:proofErr w:type="spellStart"/>
      <w:r w:rsidRPr="006F1A8D">
        <w:rPr>
          <w:rFonts w:ascii="Times New Roman" w:hAnsi="Times New Roman"/>
          <w:i/>
          <w:iCs/>
          <w:w w:val="100"/>
          <w:sz w:val="24"/>
        </w:rPr>
        <w:t>f</w:t>
      </w:r>
      <w:proofErr w:type="spellEnd"/>
      <w:r w:rsidRPr="006F1A8D">
        <w:rPr>
          <w:rFonts w:ascii="Times New Roman" w:hAnsi="Times New Roman"/>
          <w:i/>
          <w:iCs/>
          <w:w w:val="100"/>
          <w:sz w:val="24"/>
        </w:rPr>
        <w:t>(</w:t>
      </w:r>
      <w:proofErr w:type="spellStart"/>
      <w:r w:rsidRPr="006F1A8D">
        <w:rPr>
          <w:rFonts w:ascii="Times New Roman" w:hAnsi="Times New Roman"/>
          <w:i/>
          <w:iCs/>
          <w:w w:val="100"/>
          <w:sz w:val="24"/>
        </w:rPr>
        <w:t>x</w:t>
      </w:r>
      <w:proofErr w:type="spellEnd"/>
      <w:r w:rsidRPr="006F1A8D">
        <w:rPr>
          <w:rFonts w:ascii="Times New Roman" w:hAnsi="Times New Roman"/>
          <w:i/>
          <w:iCs/>
          <w:w w:val="100"/>
          <w:sz w:val="24"/>
        </w:rPr>
        <w:t>)</w:t>
      </w:r>
      <w:r w:rsidRPr="006F1A8D">
        <w:rPr>
          <w:rFonts w:ascii="Times New Roman" w:hAnsi="Times New Roman"/>
          <w:w w:val="100"/>
          <w:sz w:val="24"/>
        </w:rPr>
        <w:t xml:space="preserve"> получаемых подряд выборок </w:t>
      </w:r>
      <w:proofErr w:type="spellStart"/>
      <w:r w:rsidRPr="006F1A8D">
        <w:rPr>
          <w:rFonts w:ascii="Times New Roman" w:hAnsi="Times New Roman"/>
          <w:w w:val="100"/>
          <w:sz w:val="24"/>
        </w:rPr>
        <w:t>кардиоинтервалов</w:t>
      </w:r>
      <w:proofErr w:type="spellEnd"/>
      <w:r w:rsidRPr="006F1A8D">
        <w:rPr>
          <w:rFonts w:ascii="Times New Roman" w:hAnsi="Times New Roman"/>
          <w:w w:val="100"/>
          <w:sz w:val="24"/>
        </w:rPr>
        <w:t xml:space="preserve"> (КИ) у одного испытуемого и группы лиц, строились матрицы парных сравнений выборок КИ и сравнивались полученные из этих матриц числа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(число пар статистических совпадений). </w:t>
      </w:r>
      <w:r w:rsidRPr="006F1A8D">
        <w:rPr>
          <w:rFonts w:ascii="Times New Roman" w:hAnsi="Times New Roman"/>
          <w:i/>
          <w:iCs/>
          <w:w w:val="100"/>
          <w:sz w:val="24"/>
        </w:rPr>
        <w:t>Результаты</w:t>
      </w:r>
      <w:r w:rsidRPr="006F1A8D">
        <w:rPr>
          <w:rFonts w:ascii="Times New Roman" w:hAnsi="Times New Roman"/>
          <w:w w:val="100"/>
          <w:sz w:val="24"/>
        </w:rPr>
        <w:t xml:space="preserve">. В работе демонстрируется хаотическая динамика </w:t>
      </w:r>
      <w:proofErr w:type="gramStart"/>
      <w:r w:rsidRPr="006F1A8D">
        <w:rPr>
          <w:rFonts w:ascii="Times New Roman" w:hAnsi="Times New Roman"/>
          <w:w w:val="100"/>
          <w:sz w:val="24"/>
        </w:rPr>
        <w:t>КИ</w:t>
      </w:r>
      <w:proofErr w:type="gramEnd"/>
      <w:r w:rsidRPr="006F1A8D">
        <w:rPr>
          <w:rFonts w:ascii="Times New Roman" w:hAnsi="Times New Roman"/>
          <w:w w:val="100"/>
          <w:sz w:val="24"/>
        </w:rPr>
        <w:t xml:space="preserve"> как отдельного человека, так и группы испытуемых (в режиме многократных измерений параметров КИ) в спокойном состоянии до и после локального </w:t>
      </w:r>
      <w:proofErr w:type="spellStart"/>
      <w:r w:rsidRPr="006F1A8D">
        <w:rPr>
          <w:rFonts w:ascii="Times New Roman" w:hAnsi="Times New Roman"/>
          <w:w w:val="100"/>
          <w:sz w:val="24"/>
        </w:rPr>
        <w:t>холодового</w:t>
      </w:r>
      <w:proofErr w:type="spellEnd"/>
      <w:r w:rsidRPr="006F1A8D">
        <w:rPr>
          <w:rFonts w:ascii="Times New Roman" w:hAnsi="Times New Roman"/>
          <w:w w:val="100"/>
          <w:sz w:val="24"/>
        </w:rPr>
        <w:t xml:space="preserve"> воздействия. Доказывается статистическая неустойчивость подряд получаемых выборок КИ при повторных регистрациях как у одного и того же человека, так и у группы лиц. Показано, что группа разных людей </w:t>
      </w:r>
      <w:proofErr w:type="gramStart"/>
      <w:r w:rsidRPr="006F1A8D">
        <w:rPr>
          <w:rFonts w:ascii="Times New Roman" w:hAnsi="Times New Roman"/>
          <w:w w:val="100"/>
          <w:sz w:val="24"/>
        </w:rPr>
        <w:t>более статистически</w:t>
      </w:r>
      <w:proofErr w:type="gramEnd"/>
      <w:r w:rsidRPr="006F1A8D">
        <w:rPr>
          <w:rFonts w:ascii="Times New Roman" w:hAnsi="Times New Roman"/>
          <w:w w:val="100"/>
          <w:sz w:val="24"/>
        </w:rPr>
        <w:t xml:space="preserve"> устойчива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w:t>
      </w:r>
      <w:r w:rsidRPr="006F1A8D">
        <w:rPr>
          <w:rFonts w:ascii="Times New Roman" w:hAnsi="Times New Roman" w:cs="Times New Roman"/>
          <w:w w:val="100"/>
          <w:sz w:val="24"/>
        </w:rPr>
        <w:t>≥</w:t>
      </w:r>
      <w:r w:rsidRPr="006F1A8D">
        <w:rPr>
          <w:rFonts w:ascii="Times New Roman" w:hAnsi="Times New Roman"/>
          <w:w w:val="100"/>
          <w:sz w:val="24"/>
        </w:rPr>
        <w:t xml:space="preserve"> 19), чем один человек в режиме 15 повторов регистрации КИ в неизменном гомеостазе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w:t>
      </w:r>
      <w:r w:rsidRPr="006F1A8D">
        <w:rPr>
          <w:rFonts w:ascii="Times New Roman" w:hAnsi="Times New Roman" w:cs="Times New Roman"/>
          <w:w w:val="100"/>
          <w:sz w:val="24"/>
        </w:rPr>
        <w:t>≤</w:t>
      </w:r>
      <w:r w:rsidRPr="006F1A8D">
        <w:rPr>
          <w:rFonts w:ascii="Times New Roman" w:hAnsi="Times New Roman"/>
          <w:w w:val="100"/>
          <w:sz w:val="24"/>
        </w:rPr>
        <w:t xml:space="preserve"> 12). Функции </w:t>
      </w:r>
      <w:proofErr w:type="spellStart"/>
      <w:r w:rsidRPr="006F1A8D">
        <w:rPr>
          <w:rFonts w:ascii="Times New Roman" w:hAnsi="Times New Roman"/>
          <w:i/>
          <w:iCs/>
          <w:w w:val="100"/>
          <w:sz w:val="24"/>
        </w:rPr>
        <w:t>f</w:t>
      </w:r>
      <w:proofErr w:type="spellEnd"/>
      <w:r w:rsidRPr="006F1A8D">
        <w:rPr>
          <w:rFonts w:ascii="Times New Roman" w:hAnsi="Times New Roman"/>
          <w:i/>
          <w:iCs/>
          <w:w w:val="100"/>
          <w:sz w:val="24"/>
        </w:rPr>
        <w:t>(</w:t>
      </w:r>
      <w:proofErr w:type="spellStart"/>
      <w:r w:rsidRPr="006F1A8D">
        <w:rPr>
          <w:rFonts w:ascii="Times New Roman" w:hAnsi="Times New Roman"/>
          <w:i/>
          <w:iCs/>
          <w:w w:val="100"/>
          <w:sz w:val="24"/>
        </w:rPr>
        <w:t>x</w:t>
      </w:r>
      <w:proofErr w:type="spellEnd"/>
      <w:r w:rsidRPr="006F1A8D">
        <w:rPr>
          <w:rFonts w:ascii="Times New Roman" w:hAnsi="Times New Roman"/>
          <w:i/>
          <w:iCs/>
          <w:w w:val="100"/>
          <w:sz w:val="24"/>
        </w:rPr>
        <w:t>)</w:t>
      </w:r>
      <w:r w:rsidRPr="006F1A8D">
        <w:rPr>
          <w:rFonts w:ascii="Times New Roman" w:hAnsi="Times New Roman"/>
          <w:w w:val="100"/>
          <w:sz w:val="24"/>
        </w:rPr>
        <w:t xml:space="preserve"> без </w:t>
      </w:r>
      <w:proofErr w:type="spellStart"/>
      <w:r w:rsidRPr="006F1A8D">
        <w:rPr>
          <w:rFonts w:ascii="Times New Roman" w:hAnsi="Times New Roman"/>
          <w:w w:val="100"/>
          <w:sz w:val="24"/>
        </w:rPr>
        <w:t>какого­либо</w:t>
      </w:r>
      <w:proofErr w:type="spellEnd"/>
      <w:r w:rsidRPr="006F1A8D">
        <w:rPr>
          <w:rFonts w:ascii="Times New Roman" w:hAnsi="Times New Roman"/>
          <w:w w:val="100"/>
          <w:sz w:val="24"/>
        </w:rPr>
        <w:t xml:space="preserve"> воздействия на человека могут демонстрировать совпадения (для пар КИ) не более 10</w:t>
      </w:r>
      <w:r w:rsidRPr="006F1A8D">
        <w:rPr>
          <w:rFonts w:ascii="Times New Roman"/>
          <w:w w:val="100"/>
          <w:sz w:val="24"/>
        </w:rPr>
        <w:t> </w:t>
      </w:r>
      <w:r w:rsidRPr="006F1A8D">
        <w:rPr>
          <w:rFonts w:ascii="Times New Roman" w:hAnsi="Times New Roman"/>
          <w:w w:val="100"/>
          <w:sz w:val="24"/>
        </w:rPr>
        <w:t xml:space="preserve">% от общего числа выборок КИ при расчете матриц парных сравнений выборок, получаемых в одинаковом (неизменном) состоянии организма одного испытуемого. </w:t>
      </w:r>
      <w:r w:rsidRPr="006F1A8D">
        <w:rPr>
          <w:rFonts w:ascii="Times New Roman" w:hAnsi="Times New Roman"/>
          <w:i/>
          <w:iCs/>
          <w:w w:val="100"/>
          <w:sz w:val="24"/>
        </w:rPr>
        <w:t>Выводы</w:t>
      </w:r>
      <w:r w:rsidRPr="006F1A8D">
        <w:rPr>
          <w:rFonts w:ascii="Times New Roman" w:hAnsi="Times New Roman"/>
          <w:w w:val="100"/>
          <w:sz w:val="24"/>
        </w:rPr>
        <w:t xml:space="preserve">. Расчет матриц парных сравнений выборок показал, что охлаждение кисти (как </w:t>
      </w:r>
      <w:proofErr w:type="spellStart"/>
      <w:r w:rsidRPr="006F1A8D">
        <w:rPr>
          <w:rFonts w:ascii="Times New Roman" w:hAnsi="Times New Roman"/>
          <w:w w:val="100"/>
          <w:sz w:val="24"/>
        </w:rPr>
        <w:t>стресс­воздействие</w:t>
      </w:r>
      <w:proofErr w:type="spellEnd"/>
      <w:r w:rsidRPr="006F1A8D">
        <w:rPr>
          <w:rFonts w:ascii="Times New Roman" w:hAnsi="Times New Roman"/>
          <w:w w:val="100"/>
          <w:sz w:val="24"/>
        </w:rPr>
        <w:t xml:space="preserve">) приводит к увеличению числа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в матрицах сравнения КИ. Показано, что разные испытуемые могут быть </w:t>
      </w:r>
      <w:proofErr w:type="gramStart"/>
      <w:r w:rsidRPr="006F1A8D">
        <w:rPr>
          <w:rFonts w:ascii="Times New Roman" w:hAnsi="Times New Roman"/>
          <w:w w:val="100"/>
          <w:sz w:val="24"/>
        </w:rPr>
        <w:t>более статистически</w:t>
      </w:r>
      <w:proofErr w:type="gramEnd"/>
      <w:r w:rsidRPr="006F1A8D">
        <w:rPr>
          <w:rFonts w:ascii="Times New Roman" w:hAnsi="Times New Roman"/>
          <w:w w:val="100"/>
          <w:sz w:val="24"/>
        </w:rPr>
        <w:t xml:space="preserve"> похожи, чем один испытуемый на самого себя в режиме </w:t>
      </w:r>
      <w:proofErr w:type="spellStart"/>
      <w:r w:rsidRPr="006F1A8D">
        <w:rPr>
          <w:rFonts w:ascii="Times New Roman" w:hAnsi="Times New Roman"/>
          <w:i/>
          <w:iCs/>
          <w:w w:val="100"/>
          <w:sz w:val="24"/>
        </w:rPr>
        <w:t>n</w:t>
      </w:r>
      <w:proofErr w:type="spellEnd"/>
      <w:r w:rsidRPr="006F1A8D">
        <w:rPr>
          <w:rFonts w:ascii="Times New Roman" w:hAnsi="Times New Roman"/>
          <w:w w:val="100"/>
          <w:sz w:val="24"/>
        </w:rPr>
        <w:t xml:space="preserve"> = 15 повторов регистрации КИ. Организм человека не является объектом современной </w:t>
      </w:r>
      <w:proofErr w:type="spellStart"/>
      <w:r w:rsidRPr="006F1A8D">
        <w:rPr>
          <w:rFonts w:ascii="Times New Roman" w:hAnsi="Times New Roman"/>
          <w:w w:val="100"/>
          <w:sz w:val="24"/>
        </w:rPr>
        <w:t>стохастики</w:t>
      </w:r>
      <w:proofErr w:type="spellEnd"/>
      <w:r w:rsidRPr="006F1A8D">
        <w:rPr>
          <w:rFonts w:ascii="Times New Roman" w:hAnsi="Times New Roman"/>
          <w:w w:val="100"/>
          <w:sz w:val="24"/>
        </w:rPr>
        <w:t xml:space="preserve"> и теории хаоса, необходимы повторения испытаний и расчет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в матрицах парных сравнений выборок параметров гомеостаза. </w:t>
      </w:r>
    </w:p>
    <w:p w:rsidR="006F1A8D" w:rsidRPr="006F1A8D" w:rsidRDefault="006F1A8D" w:rsidP="006F1A8D">
      <w:pPr>
        <w:pStyle w:val="a8"/>
        <w:rPr>
          <w:rFonts w:ascii="Times New Roman" w:hAnsi="Times New Roman"/>
          <w:w w:val="100"/>
          <w:sz w:val="24"/>
        </w:rPr>
      </w:pPr>
      <w:proofErr w:type="gramStart"/>
      <w:r w:rsidRPr="006F1A8D">
        <w:rPr>
          <w:rFonts w:ascii="Times New Roman" w:hAnsi="Times New Roman"/>
          <w:b/>
          <w:bCs/>
          <w:w w:val="100"/>
          <w:sz w:val="24"/>
        </w:rPr>
        <w:t xml:space="preserve">Ключевые слова: </w:t>
      </w:r>
      <w:proofErr w:type="spellStart"/>
      <w:r w:rsidRPr="006F1A8D">
        <w:rPr>
          <w:rFonts w:ascii="Times New Roman" w:hAnsi="Times New Roman"/>
          <w:w w:val="100"/>
          <w:sz w:val="24"/>
        </w:rPr>
        <w:t>кардиоинтервалы</w:t>
      </w:r>
      <w:proofErr w:type="spellEnd"/>
      <w:r w:rsidRPr="006F1A8D">
        <w:rPr>
          <w:rFonts w:ascii="Times New Roman" w:hAnsi="Times New Roman"/>
          <w:w w:val="100"/>
          <w:sz w:val="24"/>
        </w:rPr>
        <w:t>, хаос – самоорганизация, эффект Еськова – Филатовой, эффект Еськова – Зинченко</w:t>
      </w:r>
      <w:proofErr w:type="gramEnd"/>
    </w:p>
    <w:p w:rsidR="006F1A8D" w:rsidRPr="006F1A8D" w:rsidRDefault="006F1A8D" w:rsidP="006F1A8D">
      <w:pPr>
        <w:pStyle w:val="a3"/>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spacing w:after="57"/>
        <w:rPr>
          <w:rFonts w:ascii="Times New Roman" w:hAnsi="Times New Roman"/>
          <w:sz w:val="24"/>
        </w:rPr>
      </w:pPr>
      <w:proofErr w:type="gramStart"/>
      <w:r w:rsidRPr="006F1A8D">
        <w:rPr>
          <w:rFonts w:ascii="Times New Roman" w:hAnsi="Times New Roman"/>
          <w:sz w:val="24"/>
        </w:rPr>
        <w:t>УДК 616.831­005.4</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159.91]</w:t>
      </w:r>
      <w:proofErr w:type="gramEnd"/>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ПСИХОЛОГИЧЕСКАЯ АДАПТАЦИЯ К ХРОНИЧЕСКОЙ ИШЕМИИ МОЗГА </w:t>
      </w:r>
      <w:r w:rsidRPr="006F1A8D">
        <w:rPr>
          <w:rFonts w:ascii="Times New Roman" w:hAnsi="Times New Roman"/>
          <w:sz w:val="24"/>
        </w:rPr>
        <w:br/>
        <w:t>У ЖИТЕЛЕЙ ЕВРОПЕЙСКОГО СЕВЕРА</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Е. Г. </w:t>
      </w:r>
      <w:proofErr w:type="spellStart"/>
      <w:r w:rsidRPr="006F1A8D">
        <w:rPr>
          <w:rFonts w:ascii="Times New Roman" w:hAnsi="Times New Roman"/>
        </w:rPr>
        <w:t>Антонен</w:t>
      </w:r>
      <w:proofErr w:type="spellEnd"/>
      <w:r w:rsidRPr="006F1A8D">
        <w:rPr>
          <w:rFonts w:ascii="Times New Roman" w:hAnsi="Times New Roman"/>
        </w:rPr>
        <w:t xml:space="preserve">, М. М. </w:t>
      </w:r>
      <w:proofErr w:type="spellStart"/>
      <w:r w:rsidRPr="006F1A8D">
        <w:rPr>
          <w:rFonts w:ascii="Times New Roman" w:hAnsi="Times New Roman"/>
        </w:rPr>
        <w:t>Буркин</w:t>
      </w:r>
      <w:proofErr w:type="spellEnd"/>
      <w:r w:rsidRPr="006F1A8D">
        <w:rPr>
          <w:rFonts w:ascii="Times New Roman" w:hAnsi="Times New Roman"/>
        </w:rPr>
        <w:t xml:space="preserve">, И. В. </w:t>
      </w:r>
      <w:proofErr w:type="spellStart"/>
      <w:r w:rsidRPr="006F1A8D">
        <w:rPr>
          <w:rFonts w:ascii="Times New Roman" w:hAnsi="Times New Roman"/>
        </w:rPr>
        <w:t>Хяникяйнен</w:t>
      </w:r>
      <w:proofErr w:type="spellEnd"/>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Медицинский институт 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«Петрозаводский государственный университет», г. Петрозаводск</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 с использованием </w:t>
      </w:r>
      <w:proofErr w:type="spellStart"/>
      <w:r w:rsidRPr="006F1A8D">
        <w:rPr>
          <w:rFonts w:ascii="Times New Roman" w:hAnsi="Times New Roman"/>
          <w:w w:val="100"/>
          <w:sz w:val="24"/>
        </w:rPr>
        <w:t>биопсихосоциального</w:t>
      </w:r>
      <w:proofErr w:type="spellEnd"/>
      <w:r w:rsidRPr="006F1A8D">
        <w:rPr>
          <w:rFonts w:ascii="Times New Roman" w:hAnsi="Times New Roman"/>
          <w:w w:val="100"/>
          <w:sz w:val="24"/>
        </w:rPr>
        <w:t xml:space="preserve"> подхода показать роль системной психодиагностики для многомерного комплексного изучения влияния </w:t>
      </w:r>
      <w:proofErr w:type="spellStart"/>
      <w:r w:rsidRPr="006F1A8D">
        <w:rPr>
          <w:rFonts w:ascii="Times New Roman" w:hAnsi="Times New Roman"/>
          <w:w w:val="100"/>
          <w:sz w:val="24"/>
        </w:rPr>
        <w:t>индивидуально­психологических</w:t>
      </w:r>
      <w:proofErr w:type="spellEnd"/>
      <w:r w:rsidRPr="006F1A8D">
        <w:rPr>
          <w:rFonts w:ascii="Times New Roman" w:hAnsi="Times New Roman"/>
          <w:w w:val="100"/>
          <w:sz w:val="24"/>
        </w:rPr>
        <w:t xml:space="preserve"> и социальных факторов на возникновение и течение хронической ишемии мозга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чтобы оптимизировать стратегии терапии. В частности, изучены механизмы психологической адаптации (психологической защиты и </w:t>
      </w:r>
      <w:proofErr w:type="spellStart"/>
      <w:r w:rsidRPr="006F1A8D">
        <w:rPr>
          <w:rFonts w:ascii="Times New Roman" w:hAnsi="Times New Roman"/>
          <w:w w:val="100"/>
          <w:sz w:val="24"/>
        </w:rPr>
        <w:t>копинга</w:t>
      </w:r>
      <w:proofErr w:type="spellEnd"/>
      <w:r w:rsidRPr="006F1A8D">
        <w:rPr>
          <w:rFonts w:ascii="Times New Roman" w:hAnsi="Times New Roman"/>
          <w:w w:val="100"/>
          <w:sz w:val="24"/>
        </w:rPr>
        <w:t xml:space="preserve">) у лиц организованной популяции г. Петрозаводска с ранней стадией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280; средний возраст (53,9 ± 8,1) года; </w:t>
      </w:r>
      <w:proofErr w:type="spellStart"/>
      <w:r w:rsidRPr="006F1A8D">
        <w:rPr>
          <w:rFonts w:ascii="Times New Roman" w:hAnsi="Times New Roman"/>
          <w:w w:val="100"/>
          <w:sz w:val="24"/>
        </w:rPr>
        <w:t>гендерный</w:t>
      </w:r>
      <w:proofErr w:type="spellEnd"/>
      <w:r w:rsidRPr="006F1A8D">
        <w:rPr>
          <w:rFonts w:ascii="Times New Roman" w:hAnsi="Times New Roman"/>
          <w:w w:val="100"/>
          <w:sz w:val="24"/>
        </w:rPr>
        <w:t xml:space="preserve"> индекс 1:1). Контрольная группа </w:t>
      </w:r>
      <w:r w:rsidRPr="006F1A8D">
        <w:rPr>
          <w:rFonts w:ascii="Times New Roman" w:hAnsi="Times New Roman"/>
          <w:w w:val="100"/>
          <w:sz w:val="24"/>
        </w:rPr>
        <w:lastRenderedPageBreak/>
        <w:t>включала здоровых лиц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32; средний возраст (52,4 ± 6,5) года; </w:t>
      </w:r>
      <w:proofErr w:type="spellStart"/>
      <w:r w:rsidRPr="006F1A8D">
        <w:rPr>
          <w:rFonts w:ascii="Times New Roman" w:hAnsi="Times New Roman"/>
          <w:w w:val="100"/>
          <w:sz w:val="24"/>
        </w:rPr>
        <w:t>гендерный</w:t>
      </w:r>
      <w:proofErr w:type="spellEnd"/>
      <w:r w:rsidRPr="006F1A8D">
        <w:rPr>
          <w:rFonts w:ascii="Times New Roman" w:hAnsi="Times New Roman"/>
          <w:w w:val="100"/>
          <w:sz w:val="24"/>
        </w:rPr>
        <w:t xml:space="preserve"> индекс 1:1; </w:t>
      </w:r>
      <w:proofErr w:type="spellStart"/>
      <w:proofErr w:type="gramStart"/>
      <w:r w:rsidRPr="006F1A8D">
        <w:rPr>
          <w:rFonts w:ascii="Times New Roman" w:hAnsi="Times New Roman"/>
          <w:w w:val="100"/>
          <w:sz w:val="24"/>
        </w:rPr>
        <w:t>р</w:t>
      </w:r>
      <w:proofErr w:type="spellEnd"/>
      <w:proofErr w:type="gramEnd"/>
      <w:r w:rsidRPr="006F1A8D">
        <w:rPr>
          <w:rFonts w:ascii="Times New Roman" w:hAnsi="Times New Roman"/>
          <w:w w:val="100"/>
          <w:sz w:val="24"/>
        </w:rPr>
        <w:t xml:space="preserve"> &gt; 0,05). </w:t>
      </w:r>
      <w:r w:rsidRPr="006F1A8D">
        <w:rPr>
          <w:rFonts w:ascii="Times New Roman" w:hAnsi="Times New Roman"/>
          <w:i/>
          <w:iCs/>
          <w:w w:val="100"/>
          <w:sz w:val="24"/>
        </w:rPr>
        <w:t>Методы</w:t>
      </w:r>
      <w:r w:rsidRPr="006F1A8D">
        <w:rPr>
          <w:rFonts w:ascii="Times New Roman" w:hAnsi="Times New Roman"/>
          <w:w w:val="100"/>
          <w:sz w:val="24"/>
        </w:rPr>
        <w:t xml:space="preserve">. Использовали метод «Индекс жизненного стиля» по Р. </w:t>
      </w:r>
      <w:proofErr w:type="spellStart"/>
      <w:r w:rsidRPr="006F1A8D">
        <w:rPr>
          <w:rFonts w:ascii="Times New Roman" w:hAnsi="Times New Roman"/>
          <w:w w:val="100"/>
          <w:sz w:val="24"/>
        </w:rPr>
        <w:t>Плутчику</w:t>
      </w:r>
      <w:proofErr w:type="spellEnd"/>
      <w:r w:rsidRPr="006F1A8D">
        <w:rPr>
          <w:rFonts w:ascii="Times New Roman" w:hAnsi="Times New Roman"/>
          <w:w w:val="100"/>
          <w:sz w:val="24"/>
        </w:rPr>
        <w:t xml:space="preserve"> с </w:t>
      </w:r>
      <w:proofErr w:type="spellStart"/>
      <w:r w:rsidRPr="006F1A8D">
        <w:rPr>
          <w:rFonts w:ascii="Times New Roman" w:hAnsi="Times New Roman"/>
          <w:w w:val="100"/>
          <w:sz w:val="24"/>
        </w:rPr>
        <w:t>соавт</w:t>
      </w:r>
      <w:proofErr w:type="spellEnd"/>
      <w:r w:rsidRPr="006F1A8D">
        <w:rPr>
          <w:rFonts w:ascii="Times New Roman" w:hAnsi="Times New Roman"/>
          <w:w w:val="100"/>
          <w:sz w:val="24"/>
        </w:rPr>
        <w:t>. в модификации Л. И. </w:t>
      </w:r>
      <w:proofErr w:type="spellStart"/>
      <w:r w:rsidRPr="006F1A8D">
        <w:rPr>
          <w:rFonts w:ascii="Times New Roman" w:hAnsi="Times New Roman"/>
          <w:w w:val="100"/>
          <w:sz w:val="24"/>
        </w:rPr>
        <w:t>Вассермана</w:t>
      </w:r>
      <w:proofErr w:type="spellEnd"/>
      <w:r w:rsidRPr="006F1A8D">
        <w:rPr>
          <w:rFonts w:ascii="Times New Roman" w:hAnsi="Times New Roman"/>
          <w:w w:val="100"/>
          <w:sz w:val="24"/>
        </w:rPr>
        <w:t xml:space="preserve"> и стандартизированный тест Р. </w:t>
      </w:r>
      <w:proofErr w:type="spellStart"/>
      <w:r w:rsidRPr="006F1A8D">
        <w:rPr>
          <w:rFonts w:ascii="Times New Roman" w:hAnsi="Times New Roman"/>
          <w:w w:val="100"/>
          <w:sz w:val="24"/>
        </w:rPr>
        <w:t>Лазаруса</w:t>
      </w:r>
      <w:proofErr w:type="spellEnd"/>
      <w:r w:rsidRPr="006F1A8D">
        <w:rPr>
          <w:rFonts w:ascii="Times New Roman" w:hAnsi="Times New Roman"/>
          <w:w w:val="100"/>
          <w:sz w:val="24"/>
        </w:rPr>
        <w:t xml:space="preserve"> в модификации Л. И. </w:t>
      </w:r>
      <w:proofErr w:type="spellStart"/>
      <w:r w:rsidRPr="006F1A8D">
        <w:rPr>
          <w:rFonts w:ascii="Times New Roman" w:hAnsi="Times New Roman"/>
          <w:w w:val="100"/>
          <w:sz w:val="24"/>
        </w:rPr>
        <w:t>Вассермана</w:t>
      </w:r>
      <w:proofErr w:type="spellEnd"/>
      <w:r w:rsidRPr="006F1A8D">
        <w:rPr>
          <w:rFonts w:ascii="Times New Roman" w:hAnsi="Times New Roman"/>
          <w:w w:val="100"/>
          <w:sz w:val="24"/>
        </w:rPr>
        <w:t xml:space="preserve">. </w:t>
      </w:r>
      <w:r w:rsidRPr="006F1A8D">
        <w:rPr>
          <w:rFonts w:ascii="Times New Roman" w:hAnsi="Times New Roman"/>
          <w:i/>
          <w:iCs/>
          <w:w w:val="100"/>
          <w:sz w:val="24"/>
        </w:rPr>
        <w:t>Результаты</w:t>
      </w:r>
      <w:r w:rsidRPr="006F1A8D">
        <w:rPr>
          <w:rFonts w:ascii="Times New Roman" w:hAnsi="Times New Roman"/>
          <w:w w:val="100"/>
          <w:sz w:val="24"/>
        </w:rPr>
        <w:t xml:space="preserve">. Выявили, что для проживающих на Европейском Севере пациентов с ранней стадией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характерно повышение общего показателя напряжения механизмов психологических защит преимущественно за счет «отрицания» (63,2 ± 3,7) </w:t>
      </w:r>
      <w:proofErr w:type="spellStart"/>
      <w:r w:rsidRPr="006F1A8D">
        <w:rPr>
          <w:rFonts w:ascii="Times New Roman" w:hAnsi="Times New Roman"/>
          <w:w w:val="100"/>
          <w:sz w:val="24"/>
        </w:rPr>
        <w:t>процентиля</w:t>
      </w:r>
      <w:proofErr w:type="spellEnd"/>
      <w:r w:rsidRPr="006F1A8D">
        <w:rPr>
          <w:rFonts w:ascii="Times New Roman" w:hAnsi="Times New Roman"/>
          <w:w w:val="100"/>
          <w:sz w:val="24"/>
        </w:rPr>
        <w:t xml:space="preserve">, «компенсации» (58,9 ± 4,0) </w:t>
      </w:r>
      <w:proofErr w:type="spellStart"/>
      <w:r w:rsidRPr="006F1A8D">
        <w:rPr>
          <w:rFonts w:ascii="Times New Roman" w:hAnsi="Times New Roman"/>
          <w:w w:val="100"/>
          <w:sz w:val="24"/>
        </w:rPr>
        <w:t>процентиля</w:t>
      </w:r>
      <w:proofErr w:type="spellEnd"/>
      <w:r w:rsidRPr="006F1A8D">
        <w:rPr>
          <w:rFonts w:ascii="Times New Roman" w:hAnsi="Times New Roman"/>
          <w:w w:val="100"/>
          <w:sz w:val="24"/>
        </w:rPr>
        <w:t xml:space="preserve"> и «проекции» (57,4 ± 3,9) </w:t>
      </w:r>
      <w:proofErr w:type="spellStart"/>
      <w:r w:rsidRPr="006F1A8D">
        <w:rPr>
          <w:rFonts w:ascii="Times New Roman" w:hAnsi="Times New Roman"/>
          <w:w w:val="100"/>
          <w:sz w:val="24"/>
        </w:rPr>
        <w:t>процентиля</w:t>
      </w:r>
      <w:proofErr w:type="spellEnd"/>
      <w:r w:rsidRPr="006F1A8D">
        <w:rPr>
          <w:rFonts w:ascii="Times New Roman" w:hAnsi="Times New Roman"/>
          <w:w w:val="100"/>
          <w:sz w:val="24"/>
        </w:rPr>
        <w:t xml:space="preserve">. Ведущими стратегиями </w:t>
      </w:r>
      <w:proofErr w:type="spellStart"/>
      <w:r w:rsidRPr="006F1A8D">
        <w:rPr>
          <w:rFonts w:ascii="Times New Roman" w:hAnsi="Times New Roman"/>
          <w:w w:val="100"/>
          <w:sz w:val="24"/>
        </w:rPr>
        <w:t>совладающего</w:t>
      </w:r>
      <w:proofErr w:type="spellEnd"/>
      <w:r w:rsidRPr="006F1A8D">
        <w:rPr>
          <w:rFonts w:ascii="Times New Roman" w:hAnsi="Times New Roman"/>
          <w:w w:val="100"/>
          <w:sz w:val="24"/>
        </w:rPr>
        <w:t xml:space="preserve"> со стрессом поведения у них являются поиск социальной поддержки (68,89 ± 19,45)</w:t>
      </w:r>
      <w:r w:rsidRPr="006F1A8D">
        <w:rPr>
          <w:rFonts w:ascii="Times New Roman"/>
          <w:w w:val="100"/>
          <w:sz w:val="24"/>
        </w:rPr>
        <w:t> </w:t>
      </w:r>
      <w:r w:rsidRPr="006F1A8D">
        <w:rPr>
          <w:rFonts w:ascii="Times New Roman" w:hAnsi="Times New Roman"/>
          <w:w w:val="100"/>
          <w:sz w:val="24"/>
        </w:rPr>
        <w:t>% и принятие ответственности на себя (69,64 ± 18,63)</w:t>
      </w:r>
      <w:r w:rsidRPr="006F1A8D">
        <w:rPr>
          <w:rFonts w:ascii="Times New Roman"/>
          <w:w w:val="100"/>
          <w:sz w:val="24"/>
        </w:rPr>
        <w:t> </w:t>
      </w:r>
      <w:r w:rsidRPr="006F1A8D">
        <w:rPr>
          <w:rFonts w:ascii="Times New Roman" w:hAnsi="Times New Roman"/>
          <w:w w:val="100"/>
          <w:sz w:val="24"/>
        </w:rPr>
        <w:t xml:space="preserve">%. </w:t>
      </w:r>
      <w:r w:rsidRPr="006F1A8D">
        <w:rPr>
          <w:rFonts w:ascii="Times New Roman" w:hAnsi="Times New Roman"/>
          <w:i/>
          <w:iCs/>
          <w:w w:val="100"/>
          <w:sz w:val="24"/>
        </w:rPr>
        <w:t>Выводы</w:t>
      </w:r>
      <w:r w:rsidRPr="006F1A8D">
        <w:rPr>
          <w:rFonts w:ascii="Times New Roman" w:hAnsi="Times New Roman"/>
          <w:w w:val="100"/>
          <w:sz w:val="24"/>
        </w:rPr>
        <w:t xml:space="preserve">. Пациенты с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характеризуются «мозаичностью» адаптивных и </w:t>
      </w:r>
      <w:proofErr w:type="spellStart"/>
      <w:r w:rsidRPr="006F1A8D">
        <w:rPr>
          <w:rFonts w:ascii="Times New Roman" w:hAnsi="Times New Roman"/>
          <w:w w:val="100"/>
          <w:sz w:val="24"/>
        </w:rPr>
        <w:t>дезадаптивных</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индивидуально­личностных</w:t>
      </w:r>
      <w:proofErr w:type="spellEnd"/>
      <w:r w:rsidRPr="006F1A8D">
        <w:rPr>
          <w:rFonts w:ascii="Times New Roman" w:hAnsi="Times New Roman"/>
          <w:w w:val="100"/>
          <w:sz w:val="24"/>
        </w:rPr>
        <w:t xml:space="preserve"> черт </w:t>
      </w:r>
      <w:proofErr w:type="spellStart"/>
      <w:r w:rsidRPr="006F1A8D">
        <w:rPr>
          <w:rFonts w:ascii="Times New Roman" w:hAnsi="Times New Roman"/>
          <w:w w:val="100"/>
          <w:sz w:val="24"/>
        </w:rPr>
        <w:t>защитно­совладающего</w:t>
      </w:r>
      <w:proofErr w:type="spellEnd"/>
      <w:r w:rsidRPr="006F1A8D">
        <w:rPr>
          <w:rFonts w:ascii="Times New Roman" w:hAnsi="Times New Roman"/>
          <w:w w:val="100"/>
          <w:sz w:val="24"/>
        </w:rPr>
        <w:t xml:space="preserve"> стиля поведения.</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психологическая адаптация, психологическая защита, </w:t>
      </w:r>
      <w:proofErr w:type="spellStart"/>
      <w:r w:rsidRPr="006F1A8D">
        <w:rPr>
          <w:rFonts w:ascii="Times New Roman" w:hAnsi="Times New Roman"/>
          <w:w w:val="100"/>
          <w:sz w:val="24"/>
        </w:rPr>
        <w:t>копинг</w:t>
      </w:r>
      <w:proofErr w:type="spellEnd"/>
      <w:r w:rsidRPr="006F1A8D">
        <w:rPr>
          <w:rFonts w:ascii="Times New Roman" w:hAnsi="Times New Roman"/>
          <w:w w:val="100"/>
          <w:sz w:val="24"/>
        </w:rPr>
        <w:t>, ранняя стадия хронической ишемии мозга, Европейский Север</w:t>
      </w:r>
    </w:p>
    <w:p w:rsidR="006F1A8D" w:rsidRPr="006F1A8D" w:rsidRDefault="006F1A8D" w:rsidP="006F1A8D">
      <w:pPr>
        <w:pStyle w:val="a3"/>
        <w:rPr>
          <w:rFonts w:ascii="Times New Roman" w:hAnsi="Times New Roman"/>
          <w:sz w:val="24"/>
        </w:rPr>
      </w:pPr>
    </w:p>
    <w:p w:rsidR="006F1A8D" w:rsidRPr="00C637ED" w:rsidRDefault="006F1A8D" w:rsidP="006F1A8D">
      <w:pPr>
        <w:pStyle w:val="a4"/>
        <w:spacing w:after="57"/>
        <w:rPr>
          <w:rFonts w:ascii="Times New Roman" w:hAnsi="Times New Roman"/>
          <w:sz w:val="24"/>
          <w:lang w:val="en-US"/>
        </w:rPr>
      </w:pPr>
      <w:r w:rsidRPr="006F1A8D">
        <w:rPr>
          <w:rFonts w:ascii="Times New Roman" w:hAnsi="Times New Roman"/>
          <w:sz w:val="24"/>
        </w:rPr>
        <w:t>УДК</w:t>
      </w:r>
      <w:r w:rsidRPr="00C637ED">
        <w:rPr>
          <w:rFonts w:ascii="Times New Roman" w:hAnsi="Times New Roman"/>
          <w:sz w:val="24"/>
          <w:lang w:val="en-US"/>
        </w:rPr>
        <w:t xml:space="preserve"> 613.81</w:t>
      </w:r>
      <w:r w:rsidRPr="00C637ED">
        <w:rPr>
          <w:rFonts w:ascii="Times New Roman" w:eastAsia="MS Mincho" w:hAnsi="MS Mincho" w:cs="MS Mincho" w:hint="eastAsia"/>
          <w:sz w:val="24"/>
          <w:lang w:val="en-US"/>
        </w:rPr>
        <w:t> </w:t>
      </w:r>
      <w:r w:rsidRPr="00C637ED">
        <w:rPr>
          <w:rFonts w:ascii="Times New Roman" w:hAnsi="Times New Roman"/>
          <w:sz w:val="24"/>
          <w:lang w:val="en-US"/>
        </w:rPr>
        <w:t>:</w:t>
      </w:r>
      <w:r w:rsidRPr="00C637ED">
        <w:rPr>
          <w:rFonts w:ascii="Times New Roman" w:eastAsia="MS Mincho" w:hAnsi="MS Mincho" w:cs="MS Mincho" w:hint="eastAsia"/>
          <w:sz w:val="24"/>
          <w:lang w:val="en-US"/>
        </w:rPr>
        <w:t> </w:t>
      </w:r>
      <w:r w:rsidRPr="00C637ED">
        <w:rPr>
          <w:rFonts w:ascii="Times New Roman" w:hAnsi="Times New Roman"/>
          <w:sz w:val="24"/>
          <w:lang w:val="en-US"/>
        </w:rPr>
        <w:t>343.911</w:t>
      </w:r>
    </w:p>
    <w:p w:rsidR="006F1A8D" w:rsidRPr="006F1A8D" w:rsidRDefault="006F1A8D" w:rsidP="006F1A8D">
      <w:pPr>
        <w:pStyle w:val="a5"/>
        <w:spacing w:after="85"/>
        <w:rPr>
          <w:rFonts w:ascii="Times New Roman" w:hAnsi="Times New Roman"/>
          <w:sz w:val="24"/>
        </w:rPr>
      </w:pPr>
      <w:r w:rsidRPr="006F1A8D">
        <w:rPr>
          <w:rFonts w:ascii="Times New Roman" w:hAnsi="Times New Roman"/>
          <w:sz w:val="24"/>
        </w:rPr>
        <w:t xml:space="preserve">ОТЯГОЩЕННЫЙ АЛКОГОЛЬНЫЙ АНАМНЕЗ КАК АССОЦИИРОВАННЫЙ ФАКТОР </w:t>
      </w:r>
      <w:proofErr w:type="gramStart"/>
      <w:r w:rsidRPr="006F1A8D">
        <w:rPr>
          <w:rFonts w:ascii="Times New Roman" w:hAnsi="Times New Roman"/>
          <w:sz w:val="24"/>
        </w:rPr>
        <w:t>РИСКА НАРУШЕНИЯ ПОРЯДКА ОТБЫВАНИЯ НАКАЗАНИЯ</w:t>
      </w:r>
      <w:proofErr w:type="gramEnd"/>
      <w:r w:rsidRPr="006F1A8D">
        <w:rPr>
          <w:rFonts w:ascii="Times New Roman" w:hAnsi="Times New Roman"/>
          <w:sz w:val="24"/>
        </w:rPr>
        <w:t xml:space="preserve"> </w:t>
      </w:r>
      <w:r w:rsidRPr="006F1A8D">
        <w:rPr>
          <w:rFonts w:ascii="Times New Roman" w:hAnsi="Times New Roman"/>
          <w:sz w:val="24"/>
        </w:rPr>
        <w:br/>
        <w:t>ОСУЖДЕННЫМИ­РЕЦИДИВИСТАМИ</w:t>
      </w:r>
    </w:p>
    <w:p w:rsidR="006F1A8D" w:rsidRPr="006F1A8D" w:rsidRDefault="006F1A8D" w:rsidP="006F1A8D">
      <w:pPr>
        <w:pStyle w:val="a6"/>
        <w:spacing w:after="85"/>
        <w:rPr>
          <w:rFonts w:ascii="Times New Roman" w:hAnsi="Times New Roman"/>
        </w:rPr>
      </w:pPr>
      <w:r w:rsidRPr="006F1A8D">
        <w:rPr>
          <w:rFonts w:ascii="Times New Roman" w:hAnsi="Times New Roman"/>
        </w:rPr>
        <w:t xml:space="preserve">© 2018 г. Э. А. Мордовский, А. Г. Соловьев, А. Л. Санников, *Б. А. </w:t>
      </w:r>
      <w:proofErr w:type="spellStart"/>
      <w:r w:rsidRPr="006F1A8D">
        <w:rPr>
          <w:rFonts w:ascii="Times New Roman" w:hAnsi="Times New Roman"/>
        </w:rPr>
        <w:t>Спасенников</w:t>
      </w:r>
      <w:proofErr w:type="spellEnd"/>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государственный медицинский университет» Минздрава России, г. Архангельск; </w:t>
      </w:r>
      <w:r w:rsidRPr="006F1A8D">
        <w:rPr>
          <w:rFonts w:ascii="Times New Roman" w:hAnsi="Times New Roman"/>
          <w:w w:val="100"/>
          <w:sz w:val="24"/>
        </w:rPr>
        <w:br/>
        <w:t>*ФКУ «</w:t>
      </w:r>
      <w:proofErr w:type="spellStart"/>
      <w:r w:rsidRPr="006F1A8D">
        <w:rPr>
          <w:rFonts w:ascii="Times New Roman" w:hAnsi="Times New Roman"/>
          <w:w w:val="100"/>
          <w:sz w:val="24"/>
        </w:rPr>
        <w:t>Научно­исследовательский</w:t>
      </w:r>
      <w:proofErr w:type="spellEnd"/>
      <w:r w:rsidRPr="006F1A8D">
        <w:rPr>
          <w:rFonts w:ascii="Times New Roman" w:hAnsi="Times New Roman"/>
          <w:w w:val="100"/>
          <w:sz w:val="24"/>
        </w:rPr>
        <w:t xml:space="preserve"> институт» Федеральной службы исполнения наказаний, г. Москва</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Имеющие отягощенный алкогольный анамнез граждане, осужденные за повторные преступления, в местах лишения свободы под влиянием фрустрации совершают противоправные действия. </w:t>
      </w:r>
      <w:r w:rsidRPr="006F1A8D">
        <w:rPr>
          <w:rFonts w:ascii="Times New Roman" w:hAnsi="Times New Roman"/>
          <w:i/>
          <w:iCs/>
          <w:w w:val="100"/>
          <w:sz w:val="24"/>
        </w:rPr>
        <w:t>Цель</w:t>
      </w:r>
      <w:r w:rsidRPr="006F1A8D">
        <w:rPr>
          <w:rFonts w:ascii="Times New Roman" w:hAnsi="Times New Roman"/>
          <w:w w:val="100"/>
          <w:sz w:val="24"/>
        </w:rPr>
        <w:t xml:space="preserve"> исследования – дать оценку отягощенному алкогольному анамнезу как фактору, ассоциированному с совершением осужденными за опасный или особо опасный рецидив преступления противоправных действий, связанных с намеренным нарушением порядка отбывания наказания в пенитенциарных учреждениях. </w:t>
      </w:r>
      <w:r w:rsidRPr="006F1A8D">
        <w:rPr>
          <w:rFonts w:ascii="Times New Roman" w:hAnsi="Times New Roman"/>
          <w:i/>
          <w:iCs/>
          <w:w w:val="100"/>
          <w:sz w:val="24"/>
        </w:rPr>
        <w:t>Методом</w:t>
      </w:r>
      <w:r w:rsidRPr="006F1A8D">
        <w:rPr>
          <w:rFonts w:ascii="Times New Roman" w:hAnsi="Times New Roman"/>
          <w:w w:val="100"/>
          <w:sz w:val="24"/>
        </w:rPr>
        <w:t xml:space="preserve"> анкетирования (использована авторская анкета) выполнено одномоментное социологическое исследование в группе 433 осужденных, отбывающих наказание в исправительной колонии строгого режима за совершение особо тяжких умышленных преступлений при опасном и особо опасном рецидиве преступлений. </w:t>
      </w:r>
      <w:r w:rsidRPr="006F1A8D">
        <w:rPr>
          <w:rFonts w:ascii="Times New Roman" w:hAnsi="Times New Roman"/>
          <w:i/>
          <w:iCs/>
          <w:w w:val="100"/>
          <w:sz w:val="24"/>
        </w:rPr>
        <w:t>Результаты</w:t>
      </w:r>
      <w:r w:rsidRPr="006F1A8D">
        <w:rPr>
          <w:rFonts w:ascii="Times New Roman" w:hAnsi="Times New Roman"/>
          <w:w w:val="100"/>
          <w:sz w:val="24"/>
        </w:rPr>
        <w:t xml:space="preserve">. </w:t>
      </w:r>
      <w:proofErr w:type="gramStart"/>
      <w:r w:rsidRPr="006F1A8D">
        <w:rPr>
          <w:rFonts w:ascii="Times New Roman" w:hAnsi="Times New Roman"/>
          <w:w w:val="100"/>
          <w:sz w:val="24"/>
        </w:rPr>
        <w:t>Около половины осужденных (43,4</w:t>
      </w:r>
      <w:r w:rsidRPr="006F1A8D">
        <w:rPr>
          <w:rFonts w:ascii="Times New Roman"/>
          <w:w w:val="100"/>
          <w:sz w:val="24"/>
        </w:rPr>
        <w:t> </w:t>
      </w:r>
      <w:r w:rsidRPr="006F1A8D">
        <w:rPr>
          <w:rFonts w:ascii="Times New Roman" w:hAnsi="Times New Roman"/>
          <w:w w:val="100"/>
          <w:sz w:val="24"/>
        </w:rPr>
        <w:t>%) регулярно (3–4 раза в неделю) потребляли алкоголь в период пребывания на свободе, находились в состоянии алкогольного опьянения в момент совершения рецидива преступления (40,6</w:t>
      </w:r>
      <w:r w:rsidRPr="006F1A8D">
        <w:rPr>
          <w:rFonts w:ascii="Times New Roman"/>
          <w:w w:val="100"/>
          <w:sz w:val="24"/>
        </w:rPr>
        <w:t> </w:t>
      </w:r>
      <w:r w:rsidRPr="006F1A8D">
        <w:rPr>
          <w:rFonts w:ascii="Times New Roman" w:hAnsi="Times New Roman"/>
          <w:w w:val="100"/>
          <w:sz w:val="24"/>
        </w:rPr>
        <w:t>%); ответы на тест «Раннего выявления лиц группы риска и лиц, злоупотребляющих алкоголем» (AUDIT) каждого восьмого (15,2</w:t>
      </w:r>
      <w:r w:rsidRPr="006F1A8D">
        <w:rPr>
          <w:rFonts w:ascii="Times New Roman"/>
          <w:w w:val="100"/>
          <w:sz w:val="24"/>
        </w:rPr>
        <w:t> </w:t>
      </w:r>
      <w:r w:rsidRPr="006F1A8D">
        <w:rPr>
          <w:rFonts w:ascii="Times New Roman" w:hAnsi="Times New Roman"/>
          <w:w w:val="100"/>
          <w:sz w:val="24"/>
        </w:rPr>
        <w:t>%) удовлетворяли критериям вредного для здоровья потребления алкоголя / алкогольной зависимости.</w:t>
      </w:r>
      <w:proofErr w:type="gramEnd"/>
      <w:r w:rsidRPr="006F1A8D">
        <w:rPr>
          <w:rFonts w:ascii="Times New Roman" w:hAnsi="Times New Roman"/>
          <w:w w:val="100"/>
          <w:sz w:val="24"/>
        </w:rPr>
        <w:t xml:space="preserve"> Каждый третий осужденный (35,6</w:t>
      </w:r>
      <w:r w:rsidRPr="006F1A8D">
        <w:rPr>
          <w:rFonts w:ascii="Times New Roman"/>
          <w:w w:val="100"/>
          <w:sz w:val="24"/>
        </w:rPr>
        <w:t> </w:t>
      </w:r>
      <w:r w:rsidRPr="006F1A8D">
        <w:rPr>
          <w:rFonts w:ascii="Times New Roman" w:hAnsi="Times New Roman"/>
          <w:w w:val="100"/>
          <w:sz w:val="24"/>
        </w:rPr>
        <w:t xml:space="preserve">%) намеренно нарушал порядок отбывания наказания (нападение на других осужденных, конвой и проч.) в местах лишения свободы. Каждый дополнительный балл, набранный в тесте AUDIT, был ассоциирован с увеличением вероятности (относительных шансов) нарушения </w:t>
      </w:r>
      <w:r w:rsidRPr="006F1A8D">
        <w:rPr>
          <w:rFonts w:ascii="Times New Roman" w:hAnsi="Times New Roman"/>
          <w:w w:val="100"/>
          <w:sz w:val="24"/>
        </w:rPr>
        <w:lastRenderedPageBreak/>
        <w:t>осужденным порядка отбывания наказания в 1,061 раза (95</w:t>
      </w:r>
      <w:r w:rsidRPr="006F1A8D">
        <w:rPr>
          <w:rFonts w:ascii="Times New Roman"/>
          <w:w w:val="100"/>
          <w:sz w:val="24"/>
        </w:rPr>
        <w:t> </w:t>
      </w:r>
      <w:r w:rsidRPr="006F1A8D">
        <w:rPr>
          <w:rFonts w:ascii="Times New Roman" w:hAnsi="Times New Roman"/>
          <w:w w:val="100"/>
          <w:sz w:val="24"/>
        </w:rPr>
        <w:t xml:space="preserve">% ДИ: 1,026–1,096, </w:t>
      </w:r>
      <w:proofErr w:type="spellStart"/>
      <w:r w:rsidRPr="006F1A8D">
        <w:rPr>
          <w:rFonts w:ascii="Times New Roman" w:hAnsi="Times New Roman"/>
          <w:w w:val="100"/>
          <w:sz w:val="24"/>
        </w:rPr>
        <w:t>p</w:t>
      </w:r>
      <w:proofErr w:type="spellEnd"/>
      <w:r w:rsidRPr="006F1A8D">
        <w:rPr>
          <w:rFonts w:ascii="Times New Roman" w:hAnsi="Times New Roman"/>
          <w:w w:val="100"/>
          <w:sz w:val="24"/>
        </w:rPr>
        <w:t xml:space="preserve"> &lt; 0,001). </w:t>
      </w:r>
      <w:r w:rsidRPr="006F1A8D">
        <w:rPr>
          <w:rFonts w:ascii="Times New Roman" w:hAnsi="Times New Roman"/>
          <w:i/>
          <w:iCs/>
          <w:w w:val="100"/>
          <w:sz w:val="24"/>
        </w:rPr>
        <w:t>Выводы</w:t>
      </w:r>
      <w:r w:rsidRPr="006F1A8D">
        <w:rPr>
          <w:rFonts w:ascii="Times New Roman" w:hAnsi="Times New Roman"/>
          <w:w w:val="100"/>
          <w:sz w:val="24"/>
        </w:rPr>
        <w:t>. Потребление алкоголя является фактором, ассоциированным с совершением гражданами рецидива преступления. Отягощенный алкогольный анамнез предрасполагает к совершению осужденными за рецидив преступления противоправных действий в пенитенциарных учреждениях.</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осужденные, отбывающие наказание; рецидив преступления; алкогольный анамнез; злоупотребление алкоголем; порядок отбывания наказания</w:t>
      </w:r>
    </w:p>
    <w:p w:rsidR="006F1A8D" w:rsidRPr="006F1A8D" w:rsidRDefault="006F1A8D" w:rsidP="006F1A8D">
      <w:pPr>
        <w:pStyle w:val="a3"/>
        <w:rPr>
          <w:rFonts w:ascii="Times New Roman" w:hAnsi="Times New Roman"/>
          <w:sz w:val="24"/>
        </w:rPr>
      </w:pPr>
    </w:p>
    <w:p w:rsidR="006F1A8D" w:rsidRPr="00C637ED" w:rsidRDefault="006F1A8D" w:rsidP="006F1A8D">
      <w:pPr>
        <w:pStyle w:val="a4"/>
        <w:rPr>
          <w:rFonts w:ascii="Times New Roman" w:hAnsi="Times New Roman"/>
          <w:sz w:val="24"/>
          <w:lang w:val="en-US"/>
        </w:rPr>
      </w:pPr>
      <w:r w:rsidRPr="006F1A8D">
        <w:rPr>
          <w:rFonts w:ascii="Times New Roman" w:hAnsi="Times New Roman"/>
          <w:sz w:val="24"/>
        </w:rPr>
        <w:t>УДК</w:t>
      </w:r>
      <w:r w:rsidRPr="00C637ED">
        <w:rPr>
          <w:rFonts w:ascii="Times New Roman" w:hAnsi="Times New Roman"/>
          <w:sz w:val="24"/>
          <w:lang w:val="en-US"/>
        </w:rPr>
        <w:t xml:space="preserve"> 615.82</w:t>
      </w:r>
      <w:r w:rsidRPr="00C637ED">
        <w:rPr>
          <w:rFonts w:ascii="Times New Roman" w:eastAsia="MS Mincho" w:hAnsi="MS Mincho" w:cs="MS Mincho" w:hint="eastAsia"/>
          <w:sz w:val="24"/>
          <w:lang w:val="en-US"/>
        </w:rPr>
        <w:t> </w:t>
      </w:r>
      <w:r w:rsidRPr="00C637ED">
        <w:rPr>
          <w:rFonts w:ascii="Times New Roman" w:hAnsi="Times New Roman"/>
          <w:sz w:val="24"/>
          <w:lang w:val="en-US"/>
        </w:rPr>
        <w:t>:</w:t>
      </w:r>
      <w:r w:rsidRPr="00C637ED">
        <w:rPr>
          <w:rFonts w:ascii="Times New Roman" w:eastAsia="MS Mincho" w:hAnsi="MS Mincho" w:cs="MS Mincho" w:hint="eastAsia"/>
          <w:sz w:val="24"/>
          <w:lang w:val="en-US"/>
        </w:rPr>
        <w:t> </w:t>
      </w:r>
      <w:r w:rsidRPr="00C637ED">
        <w:rPr>
          <w:rFonts w:ascii="Times New Roman" w:hAnsi="Times New Roman"/>
          <w:sz w:val="24"/>
          <w:lang w:val="en-US"/>
        </w:rPr>
        <w:t>616.721.1</w:t>
      </w:r>
    </w:p>
    <w:p w:rsidR="006F1A8D" w:rsidRPr="006F1A8D" w:rsidRDefault="006F1A8D" w:rsidP="006F1A8D">
      <w:pPr>
        <w:pStyle w:val="a5"/>
        <w:rPr>
          <w:rFonts w:ascii="Times New Roman" w:hAnsi="Times New Roman"/>
          <w:sz w:val="24"/>
        </w:rPr>
      </w:pPr>
      <w:r w:rsidRPr="006F1A8D">
        <w:rPr>
          <w:rFonts w:ascii="Times New Roman" w:hAnsi="Times New Roman"/>
          <w:sz w:val="24"/>
        </w:rPr>
        <w:t>ФИЗИОТЕРАПЕВТИЧЕСКАЯ КОРРЕКЦИЯ АНТИОКСИДАНТНЫХ ПОКАЗАТЕЛЕЙ ГОМЕОСТАЗИОЛОГИЧЕСКОГО СТАТУСА ПАЦИЕНТОВ С ДИСКОГЕННОЙ ПАТОЛОГИЕЙ</w:t>
      </w:r>
    </w:p>
    <w:p w:rsidR="006F1A8D" w:rsidRPr="006F1A8D" w:rsidRDefault="006F1A8D" w:rsidP="006F1A8D">
      <w:pPr>
        <w:pStyle w:val="a6"/>
        <w:rPr>
          <w:rFonts w:ascii="Times New Roman" w:hAnsi="Times New Roman"/>
        </w:rPr>
      </w:pPr>
      <w:r w:rsidRPr="006F1A8D">
        <w:rPr>
          <w:rFonts w:ascii="Times New Roman" w:hAnsi="Times New Roman"/>
        </w:rPr>
        <w:t xml:space="preserve">© 2018 г. Н. Г. Куликова, *Л. Е. Дерягина, О. В. Безрукова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ФГАОУ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«Российский университет дружбы народов», г. Москва; *ФГКОУ ВО «Московский университет </w:t>
      </w:r>
      <w:r w:rsidRPr="006F1A8D">
        <w:rPr>
          <w:rFonts w:ascii="Times New Roman" w:hAnsi="Times New Roman"/>
          <w:w w:val="100"/>
          <w:sz w:val="24"/>
        </w:rPr>
        <w:br/>
        <w:t xml:space="preserve">Министерства внутренних дел Российской Федерации имени В. Я. </w:t>
      </w:r>
      <w:proofErr w:type="spellStart"/>
      <w:r w:rsidRPr="006F1A8D">
        <w:rPr>
          <w:rFonts w:ascii="Times New Roman" w:hAnsi="Times New Roman"/>
          <w:w w:val="100"/>
          <w:sz w:val="24"/>
        </w:rPr>
        <w:t>Кикотя</w:t>
      </w:r>
      <w:proofErr w:type="spellEnd"/>
      <w:r w:rsidRPr="006F1A8D">
        <w:rPr>
          <w:rFonts w:ascii="Times New Roman" w:hAnsi="Times New Roman"/>
          <w:w w:val="100"/>
          <w:sz w:val="24"/>
        </w:rPr>
        <w:t>», г. Москва</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изучение результатов использования </w:t>
      </w:r>
      <w:proofErr w:type="spellStart"/>
      <w:r w:rsidRPr="006F1A8D">
        <w:rPr>
          <w:rFonts w:ascii="Times New Roman" w:hAnsi="Times New Roman"/>
          <w:w w:val="100"/>
          <w:sz w:val="24"/>
        </w:rPr>
        <w:t>лимфодренажных</w:t>
      </w:r>
      <w:proofErr w:type="spellEnd"/>
      <w:r w:rsidRPr="006F1A8D">
        <w:rPr>
          <w:rFonts w:ascii="Times New Roman" w:hAnsi="Times New Roman"/>
          <w:w w:val="100"/>
          <w:sz w:val="24"/>
        </w:rPr>
        <w:t xml:space="preserve"> и </w:t>
      </w:r>
      <w:proofErr w:type="spellStart"/>
      <w:r w:rsidRPr="006F1A8D">
        <w:rPr>
          <w:rFonts w:ascii="Times New Roman" w:hAnsi="Times New Roman"/>
          <w:w w:val="100"/>
          <w:sz w:val="24"/>
        </w:rPr>
        <w:t>детоксикационных</w:t>
      </w:r>
      <w:proofErr w:type="spellEnd"/>
      <w:r w:rsidRPr="006F1A8D">
        <w:rPr>
          <w:rFonts w:ascii="Times New Roman" w:hAnsi="Times New Roman"/>
          <w:w w:val="100"/>
          <w:sz w:val="24"/>
        </w:rPr>
        <w:t xml:space="preserve"> свойств комплекса в виде </w:t>
      </w:r>
      <w:proofErr w:type="spellStart"/>
      <w:r w:rsidRPr="006F1A8D">
        <w:rPr>
          <w:rFonts w:ascii="Times New Roman" w:hAnsi="Times New Roman"/>
          <w:w w:val="100"/>
          <w:sz w:val="24"/>
        </w:rPr>
        <w:t>гальвано­фармакологической</w:t>
      </w:r>
      <w:proofErr w:type="spellEnd"/>
      <w:r w:rsidRPr="006F1A8D">
        <w:rPr>
          <w:rFonts w:ascii="Times New Roman" w:hAnsi="Times New Roman"/>
          <w:w w:val="100"/>
          <w:sz w:val="24"/>
        </w:rPr>
        <w:t xml:space="preserve"> техники с применением 1</w:t>
      </w:r>
      <w:r w:rsidRPr="006F1A8D">
        <w:rPr>
          <w:rFonts w:ascii="Times New Roman"/>
          <w:w w:val="100"/>
          <w:sz w:val="24"/>
        </w:rPr>
        <w:t> </w:t>
      </w:r>
      <w:r w:rsidRPr="006F1A8D">
        <w:rPr>
          <w:rFonts w:ascii="Times New Roman" w:hAnsi="Times New Roman"/>
          <w:w w:val="100"/>
          <w:sz w:val="24"/>
        </w:rPr>
        <w:t xml:space="preserve">% </w:t>
      </w:r>
      <w:proofErr w:type="spellStart"/>
      <w:r w:rsidRPr="006F1A8D">
        <w:rPr>
          <w:rFonts w:ascii="Times New Roman" w:hAnsi="Times New Roman"/>
          <w:w w:val="100"/>
          <w:sz w:val="24"/>
        </w:rPr>
        <w:t>террилитина</w:t>
      </w:r>
      <w:proofErr w:type="spellEnd"/>
      <w:r w:rsidRPr="006F1A8D">
        <w:rPr>
          <w:rFonts w:ascii="Times New Roman" w:hAnsi="Times New Roman"/>
          <w:w w:val="100"/>
          <w:sz w:val="24"/>
        </w:rPr>
        <w:t xml:space="preserve"> и 0,5</w:t>
      </w:r>
      <w:r w:rsidRPr="006F1A8D">
        <w:rPr>
          <w:rFonts w:ascii="Times New Roman"/>
          <w:w w:val="100"/>
          <w:sz w:val="24"/>
        </w:rPr>
        <w:t> </w:t>
      </w:r>
      <w:r w:rsidRPr="006F1A8D">
        <w:rPr>
          <w:rFonts w:ascii="Times New Roman" w:hAnsi="Times New Roman"/>
          <w:w w:val="100"/>
          <w:sz w:val="24"/>
        </w:rPr>
        <w:t xml:space="preserve">% аспирина, ЛФК и петли </w:t>
      </w:r>
      <w:proofErr w:type="spellStart"/>
      <w:r w:rsidRPr="006F1A8D">
        <w:rPr>
          <w:rFonts w:ascii="Times New Roman" w:hAnsi="Times New Roman"/>
          <w:w w:val="100"/>
          <w:sz w:val="24"/>
        </w:rPr>
        <w:t>Глиссона</w:t>
      </w:r>
      <w:proofErr w:type="spellEnd"/>
      <w:r w:rsidRPr="006F1A8D">
        <w:rPr>
          <w:rFonts w:ascii="Times New Roman" w:hAnsi="Times New Roman"/>
          <w:w w:val="100"/>
          <w:sz w:val="24"/>
        </w:rPr>
        <w:t xml:space="preserve"> у пациентов с </w:t>
      </w:r>
      <w:proofErr w:type="spellStart"/>
      <w:r w:rsidRPr="006F1A8D">
        <w:rPr>
          <w:rFonts w:ascii="Times New Roman" w:hAnsi="Times New Roman"/>
          <w:w w:val="100"/>
          <w:sz w:val="24"/>
        </w:rPr>
        <w:t>дискогенным</w:t>
      </w:r>
      <w:proofErr w:type="spellEnd"/>
      <w:r w:rsidRPr="006F1A8D">
        <w:rPr>
          <w:rFonts w:ascii="Times New Roman" w:hAnsi="Times New Roman"/>
          <w:w w:val="100"/>
          <w:sz w:val="24"/>
        </w:rPr>
        <w:t xml:space="preserve"> поражением шейного отдела позвоночника для достижения обезболивающего, противовоспалительного эффекта, восстановления нарушенных функций и </w:t>
      </w:r>
      <w:proofErr w:type="spellStart"/>
      <w:r w:rsidRPr="006F1A8D">
        <w:rPr>
          <w:rFonts w:ascii="Times New Roman" w:hAnsi="Times New Roman"/>
          <w:w w:val="100"/>
          <w:sz w:val="24"/>
        </w:rPr>
        <w:t>компенсаторно­приспособительных</w:t>
      </w:r>
      <w:proofErr w:type="spellEnd"/>
      <w:r w:rsidRPr="006F1A8D">
        <w:rPr>
          <w:rFonts w:ascii="Times New Roman" w:hAnsi="Times New Roman"/>
          <w:w w:val="100"/>
          <w:sz w:val="24"/>
        </w:rPr>
        <w:t xml:space="preserve"> реакций. </w:t>
      </w:r>
      <w:r w:rsidRPr="006F1A8D">
        <w:rPr>
          <w:rFonts w:ascii="Times New Roman" w:hAnsi="Times New Roman"/>
          <w:i/>
          <w:iCs/>
          <w:w w:val="100"/>
          <w:sz w:val="24"/>
        </w:rPr>
        <w:t>Методы</w:t>
      </w:r>
      <w:r w:rsidRPr="006F1A8D">
        <w:rPr>
          <w:rFonts w:ascii="Times New Roman" w:hAnsi="Times New Roman"/>
          <w:w w:val="100"/>
          <w:sz w:val="24"/>
        </w:rPr>
        <w:t xml:space="preserve">: исследовали уровни перекисного окисления липидов (ПОЛ), проводили </w:t>
      </w:r>
      <w:proofErr w:type="spellStart"/>
      <w:r w:rsidRPr="006F1A8D">
        <w:rPr>
          <w:rFonts w:ascii="Times New Roman" w:hAnsi="Times New Roman"/>
          <w:w w:val="100"/>
          <w:sz w:val="24"/>
        </w:rPr>
        <w:t>магнитно­резонансную</w:t>
      </w:r>
      <w:proofErr w:type="spellEnd"/>
      <w:r w:rsidRPr="006F1A8D">
        <w:rPr>
          <w:rFonts w:ascii="Times New Roman" w:hAnsi="Times New Roman"/>
          <w:w w:val="100"/>
          <w:sz w:val="24"/>
        </w:rPr>
        <w:t xml:space="preserve"> томографию (МРТ) на </w:t>
      </w:r>
      <w:proofErr w:type="spellStart"/>
      <w:r w:rsidRPr="006F1A8D">
        <w:rPr>
          <w:rFonts w:ascii="Times New Roman" w:hAnsi="Times New Roman"/>
          <w:w w:val="100"/>
          <w:sz w:val="24"/>
        </w:rPr>
        <w:t>томог</w:t>
      </w:r>
      <w:proofErr w:type="gramStart"/>
      <w:r w:rsidRPr="006F1A8D">
        <w:rPr>
          <w:rFonts w:ascii="Times New Roman" w:hAnsi="Times New Roman"/>
          <w:w w:val="100"/>
          <w:sz w:val="24"/>
        </w:rPr>
        <w:t>p</w:t>
      </w:r>
      <w:proofErr w:type="gramEnd"/>
      <w:r w:rsidRPr="006F1A8D">
        <w:rPr>
          <w:rFonts w:ascii="Times New Roman" w:hAnsi="Times New Roman"/>
          <w:w w:val="100"/>
          <w:sz w:val="24"/>
        </w:rPr>
        <w:t>афе</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Gyroscan</w:t>
      </w:r>
      <w:proofErr w:type="spellEnd"/>
      <w:r w:rsidRPr="006F1A8D">
        <w:rPr>
          <w:rFonts w:ascii="Times New Roman" w:hAnsi="Times New Roman"/>
          <w:w w:val="100"/>
          <w:sz w:val="24"/>
        </w:rPr>
        <w:t xml:space="preserve"> T5­NT» фирмы «</w:t>
      </w:r>
      <w:proofErr w:type="spellStart"/>
      <w:r w:rsidRPr="006F1A8D">
        <w:rPr>
          <w:rFonts w:ascii="Times New Roman" w:hAnsi="Times New Roman"/>
          <w:w w:val="100"/>
          <w:sz w:val="24"/>
        </w:rPr>
        <w:t>Philips</w:t>
      </w:r>
      <w:proofErr w:type="spellEnd"/>
      <w:r w:rsidRPr="006F1A8D">
        <w:rPr>
          <w:rFonts w:ascii="Times New Roman" w:hAnsi="Times New Roman"/>
          <w:w w:val="100"/>
          <w:sz w:val="24"/>
        </w:rPr>
        <w:t xml:space="preserve">», ультразвуковую </w:t>
      </w:r>
      <w:proofErr w:type="spellStart"/>
      <w:r w:rsidRPr="006F1A8D">
        <w:rPr>
          <w:rFonts w:ascii="Times New Roman" w:hAnsi="Times New Roman"/>
          <w:w w:val="100"/>
          <w:sz w:val="24"/>
        </w:rPr>
        <w:t>допплерографию</w:t>
      </w:r>
      <w:proofErr w:type="spellEnd"/>
      <w:r w:rsidRPr="006F1A8D">
        <w:rPr>
          <w:rFonts w:ascii="Times New Roman" w:hAnsi="Times New Roman"/>
          <w:w w:val="100"/>
          <w:sz w:val="24"/>
        </w:rPr>
        <w:t xml:space="preserve"> экстракраниальных сосудов на аппарате «</w:t>
      </w:r>
      <w:proofErr w:type="spellStart"/>
      <w:r w:rsidRPr="006F1A8D">
        <w:rPr>
          <w:rFonts w:ascii="Times New Roman" w:hAnsi="Times New Roman"/>
          <w:w w:val="100"/>
          <w:sz w:val="24"/>
        </w:rPr>
        <w:t>Sonoline</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Antares</w:t>
      </w:r>
      <w:proofErr w:type="spellEnd"/>
      <w:r w:rsidRPr="006F1A8D">
        <w:rPr>
          <w:rFonts w:ascii="Times New Roman" w:hAnsi="Times New Roman"/>
          <w:w w:val="100"/>
          <w:sz w:val="24"/>
        </w:rPr>
        <w:t>» фирмы «</w:t>
      </w:r>
      <w:proofErr w:type="spellStart"/>
      <w:r w:rsidRPr="006F1A8D">
        <w:rPr>
          <w:rFonts w:ascii="Times New Roman" w:hAnsi="Times New Roman"/>
          <w:w w:val="100"/>
          <w:sz w:val="24"/>
        </w:rPr>
        <w:t>Siemens</w:t>
      </w:r>
      <w:proofErr w:type="spellEnd"/>
      <w:r w:rsidRPr="006F1A8D">
        <w:rPr>
          <w:rFonts w:ascii="Times New Roman" w:hAnsi="Times New Roman"/>
          <w:w w:val="100"/>
          <w:sz w:val="24"/>
        </w:rPr>
        <w:t>», ультразвуковую диагностику сосудов шеи на аппарате «</w:t>
      </w:r>
      <w:proofErr w:type="spellStart"/>
      <w:r w:rsidRPr="006F1A8D">
        <w:rPr>
          <w:rFonts w:ascii="Times New Roman" w:hAnsi="Times New Roman"/>
          <w:w w:val="100"/>
          <w:sz w:val="24"/>
        </w:rPr>
        <w:t>Megas</w:t>
      </w:r>
      <w:proofErr w:type="spellEnd"/>
      <w:r w:rsidRPr="006F1A8D">
        <w:rPr>
          <w:rFonts w:ascii="Times New Roman" w:hAnsi="Times New Roman"/>
          <w:w w:val="100"/>
          <w:sz w:val="24"/>
        </w:rPr>
        <w:t xml:space="preserve">» (Италия) до/после применения методов, включающих лечебные упражнения, массаж </w:t>
      </w:r>
      <w:proofErr w:type="spellStart"/>
      <w:r w:rsidRPr="006F1A8D">
        <w:rPr>
          <w:rFonts w:ascii="Times New Roman" w:hAnsi="Times New Roman"/>
          <w:w w:val="100"/>
          <w:sz w:val="24"/>
        </w:rPr>
        <w:t>шейно­воротниковой</w:t>
      </w:r>
      <w:proofErr w:type="spellEnd"/>
      <w:r w:rsidRPr="006F1A8D">
        <w:rPr>
          <w:rFonts w:ascii="Times New Roman" w:hAnsi="Times New Roman"/>
          <w:w w:val="100"/>
          <w:sz w:val="24"/>
        </w:rPr>
        <w:t xml:space="preserve"> зоны, восходящую </w:t>
      </w:r>
      <w:proofErr w:type="spellStart"/>
      <w:r w:rsidRPr="006F1A8D">
        <w:rPr>
          <w:rFonts w:ascii="Times New Roman" w:hAnsi="Times New Roman"/>
          <w:w w:val="100"/>
          <w:sz w:val="24"/>
        </w:rPr>
        <w:t>гальвано­фармакологическую</w:t>
      </w:r>
      <w:proofErr w:type="spellEnd"/>
      <w:r w:rsidRPr="006F1A8D">
        <w:rPr>
          <w:rFonts w:ascii="Times New Roman" w:hAnsi="Times New Roman"/>
          <w:w w:val="100"/>
          <w:sz w:val="24"/>
        </w:rPr>
        <w:t xml:space="preserve"> технику </w:t>
      </w:r>
      <w:proofErr w:type="spellStart"/>
      <w:r w:rsidRPr="006F1A8D">
        <w:rPr>
          <w:rFonts w:ascii="Times New Roman" w:hAnsi="Times New Roman"/>
          <w:w w:val="100"/>
          <w:sz w:val="24"/>
        </w:rPr>
        <w:t>лимфодренажной</w:t>
      </w:r>
      <w:proofErr w:type="spellEnd"/>
      <w:r w:rsidRPr="006F1A8D">
        <w:rPr>
          <w:rFonts w:ascii="Times New Roman" w:hAnsi="Times New Roman"/>
          <w:w w:val="100"/>
          <w:sz w:val="24"/>
        </w:rPr>
        <w:t xml:space="preserve"> направленности с 0,5</w:t>
      </w:r>
      <w:r w:rsidRPr="006F1A8D">
        <w:rPr>
          <w:rFonts w:ascii="Times New Roman"/>
          <w:w w:val="100"/>
          <w:sz w:val="24"/>
        </w:rPr>
        <w:t> </w:t>
      </w:r>
      <w:r w:rsidRPr="006F1A8D">
        <w:rPr>
          <w:rFonts w:ascii="Times New Roman" w:hAnsi="Times New Roman"/>
          <w:w w:val="100"/>
          <w:sz w:val="24"/>
        </w:rPr>
        <w:t>% аспирином и 1</w:t>
      </w:r>
      <w:r w:rsidRPr="006F1A8D">
        <w:rPr>
          <w:rFonts w:ascii="Times New Roman"/>
          <w:w w:val="100"/>
          <w:sz w:val="24"/>
        </w:rPr>
        <w:t> </w:t>
      </w:r>
      <w:r w:rsidRPr="006F1A8D">
        <w:rPr>
          <w:rFonts w:ascii="Times New Roman" w:hAnsi="Times New Roman"/>
          <w:w w:val="100"/>
          <w:sz w:val="24"/>
        </w:rPr>
        <w:t xml:space="preserve">% раствором </w:t>
      </w:r>
      <w:proofErr w:type="spellStart"/>
      <w:r w:rsidRPr="006F1A8D">
        <w:rPr>
          <w:rFonts w:ascii="Times New Roman" w:hAnsi="Times New Roman"/>
          <w:w w:val="100"/>
          <w:sz w:val="24"/>
        </w:rPr>
        <w:t>террилитина</w:t>
      </w:r>
      <w:proofErr w:type="spellEnd"/>
      <w:r w:rsidRPr="006F1A8D">
        <w:rPr>
          <w:rFonts w:ascii="Times New Roman" w:hAnsi="Times New Roman"/>
          <w:w w:val="100"/>
          <w:sz w:val="24"/>
        </w:rPr>
        <w:t xml:space="preserve"> в 10 мл дистиллированной воды курсом из 7–10 процедур. </w:t>
      </w:r>
      <w:r w:rsidRPr="006F1A8D">
        <w:rPr>
          <w:rFonts w:ascii="Times New Roman" w:hAnsi="Times New Roman"/>
          <w:i/>
          <w:iCs/>
          <w:w w:val="100"/>
          <w:sz w:val="24"/>
        </w:rPr>
        <w:t>Результаты</w:t>
      </w:r>
      <w:r w:rsidRPr="006F1A8D">
        <w:rPr>
          <w:rFonts w:ascii="Times New Roman" w:hAnsi="Times New Roman"/>
          <w:w w:val="100"/>
          <w:sz w:val="24"/>
        </w:rPr>
        <w:t>: На момент обследования у 35</w:t>
      </w:r>
      <w:r w:rsidRPr="006F1A8D">
        <w:rPr>
          <w:rFonts w:ascii="Times New Roman"/>
          <w:w w:val="100"/>
          <w:sz w:val="24"/>
        </w:rPr>
        <w:t> </w:t>
      </w:r>
      <w:r w:rsidRPr="006F1A8D">
        <w:rPr>
          <w:rFonts w:ascii="Times New Roman" w:hAnsi="Times New Roman"/>
          <w:w w:val="100"/>
          <w:sz w:val="24"/>
        </w:rPr>
        <w:t>% пациентов выявлен остеохондроз 1­й степени; у 37</w:t>
      </w:r>
      <w:r w:rsidRPr="006F1A8D">
        <w:rPr>
          <w:rFonts w:ascii="Times New Roman"/>
          <w:w w:val="100"/>
          <w:sz w:val="24"/>
        </w:rPr>
        <w:t> </w:t>
      </w:r>
      <w:r w:rsidRPr="006F1A8D">
        <w:rPr>
          <w:rFonts w:ascii="Times New Roman" w:hAnsi="Times New Roman"/>
          <w:w w:val="100"/>
          <w:sz w:val="24"/>
        </w:rPr>
        <w:t>% – 2­й степени; у 28</w:t>
      </w:r>
      <w:r w:rsidRPr="006F1A8D">
        <w:rPr>
          <w:rFonts w:ascii="Times New Roman"/>
          <w:w w:val="100"/>
          <w:sz w:val="24"/>
        </w:rPr>
        <w:t> </w:t>
      </w:r>
      <w:r w:rsidRPr="006F1A8D">
        <w:rPr>
          <w:rFonts w:ascii="Times New Roman" w:hAnsi="Times New Roman"/>
          <w:w w:val="100"/>
          <w:sz w:val="24"/>
        </w:rPr>
        <w:t xml:space="preserve">% – 3­й степени выраженности. После курса комплексной восходящей </w:t>
      </w:r>
      <w:proofErr w:type="spellStart"/>
      <w:r w:rsidRPr="006F1A8D">
        <w:rPr>
          <w:rFonts w:ascii="Times New Roman" w:hAnsi="Times New Roman"/>
          <w:w w:val="100"/>
          <w:sz w:val="24"/>
        </w:rPr>
        <w:t>лимфодренажной</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детоксикационной</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гальвано­фармакологической</w:t>
      </w:r>
      <w:proofErr w:type="spellEnd"/>
      <w:r w:rsidRPr="006F1A8D">
        <w:rPr>
          <w:rFonts w:ascii="Times New Roman" w:hAnsi="Times New Roman"/>
          <w:w w:val="100"/>
          <w:sz w:val="24"/>
        </w:rPr>
        <w:t xml:space="preserve"> терапии отмечали значимое повышение уровня </w:t>
      </w:r>
      <w:proofErr w:type="spellStart"/>
      <w:r w:rsidRPr="006F1A8D">
        <w:rPr>
          <w:rFonts w:ascii="Times New Roman" w:hAnsi="Times New Roman"/>
          <w:w w:val="100"/>
          <w:sz w:val="24"/>
        </w:rPr>
        <w:t>супероксиддисмутазы</w:t>
      </w:r>
      <w:proofErr w:type="spellEnd"/>
      <w:r w:rsidRPr="006F1A8D">
        <w:rPr>
          <w:rFonts w:ascii="Times New Roman" w:hAnsi="Times New Roman"/>
          <w:w w:val="100"/>
          <w:sz w:val="24"/>
        </w:rPr>
        <w:t xml:space="preserve"> (от (7,86 ± 0,41) до (9,69 ± 0,45) у. ед./мл; </w:t>
      </w:r>
      <w:proofErr w:type="spellStart"/>
      <w:proofErr w:type="gramStart"/>
      <w:r w:rsidRPr="006F1A8D">
        <w:rPr>
          <w:rFonts w:ascii="Times New Roman" w:hAnsi="Times New Roman"/>
          <w:w w:val="100"/>
          <w:sz w:val="24"/>
        </w:rPr>
        <w:t>р</w:t>
      </w:r>
      <w:proofErr w:type="spellEnd"/>
      <w:proofErr w:type="gramEnd"/>
      <w:r w:rsidRPr="006F1A8D">
        <w:rPr>
          <w:rFonts w:ascii="Times New Roman" w:hAnsi="Times New Roman"/>
          <w:w w:val="100"/>
          <w:sz w:val="24"/>
        </w:rPr>
        <w:t xml:space="preserve"> = 0,0003); снижение уровня </w:t>
      </w:r>
      <w:proofErr w:type="spellStart"/>
      <w:r w:rsidRPr="006F1A8D">
        <w:rPr>
          <w:rFonts w:ascii="Times New Roman" w:hAnsi="Times New Roman"/>
          <w:w w:val="100"/>
          <w:sz w:val="24"/>
        </w:rPr>
        <w:t>малонового</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диальдегида</w:t>
      </w:r>
      <w:proofErr w:type="spellEnd"/>
      <w:r w:rsidRPr="006F1A8D">
        <w:rPr>
          <w:rFonts w:ascii="Times New Roman" w:hAnsi="Times New Roman"/>
          <w:w w:val="100"/>
          <w:sz w:val="24"/>
        </w:rPr>
        <w:t xml:space="preserve"> (от (2,51 ± 0,18) до (2,01 ± 0,11) </w:t>
      </w:r>
      <w:proofErr w:type="spellStart"/>
      <w:r w:rsidRPr="006F1A8D">
        <w:rPr>
          <w:rFonts w:ascii="Times New Roman" w:hAnsi="Times New Roman"/>
          <w:w w:val="100"/>
          <w:sz w:val="24"/>
        </w:rPr>
        <w:t>нмоль</w:t>
      </w:r>
      <w:proofErr w:type="spellEnd"/>
      <w:r w:rsidRPr="006F1A8D">
        <w:rPr>
          <w:rFonts w:ascii="Times New Roman" w:hAnsi="Times New Roman"/>
          <w:w w:val="100"/>
          <w:sz w:val="24"/>
        </w:rPr>
        <w:t xml:space="preserve">/л; </w:t>
      </w:r>
      <w:proofErr w:type="spellStart"/>
      <w:r w:rsidRPr="006F1A8D">
        <w:rPr>
          <w:rFonts w:ascii="Times New Roman" w:hAnsi="Times New Roman"/>
          <w:w w:val="100"/>
          <w:sz w:val="24"/>
        </w:rPr>
        <w:t>р</w:t>
      </w:r>
      <w:proofErr w:type="spellEnd"/>
      <w:r w:rsidRPr="006F1A8D">
        <w:rPr>
          <w:rFonts w:ascii="Times New Roman" w:hAnsi="Times New Roman"/>
          <w:w w:val="100"/>
          <w:sz w:val="24"/>
        </w:rPr>
        <w:t xml:space="preserve"> = 0,05) и диенового </w:t>
      </w:r>
      <w:proofErr w:type="spellStart"/>
      <w:r w:rsidRPr="006F1A8D">
        <w:rPr>
          <w:rFonts w:ascii="Times New Roman" w:hAnsi="Times New Roman"/>
          <w:w w:val="100"/>
          <w:sz w:val="24"/>
        </w:rPr>
        <w:t>конъюгата</w:t>
      </w:r>
      <w:proofErr w:type="spellEnd"/>
      <w:r w:rsidRPr="006F1A8D">
        <w:rPr>
          <w:rFonts w:ascii="Times New Roman" w:hAnsi="Times New Roman"/>
          <w:w w:val="100"/>
          <w:sz w:val="24"/>
        </w:rPr>
        <w:t xml:space="preserve"> (от (1,31 ± 0,15) до (0,89 ± 0,11) </w:t>
      </w:r>
      <w:proofErr w:type="spellStart"/>
      <w:r w:rsidRPr="006F1A8D">
        <w:rPr>
          <w:rFonts w:ascii="Times New Roman" w:hAnsi="Times New Roman"/>
          <w:w w:val="100"/>
          <w:sz w:val="24"/>
        </w:rPr>
        <w:t>мл</w:t>
      </w:r>
      <w:r w:rsidRPr="006F1A8D">
        <w:rPr>
          <w:rFonts w:ascii="Times New Roman" w:hAnsi="Times New Roman" w:cs="Times New Roman Cyr"/>
          <w:w w:val="100"/>
          <w:sz w:val="24"/>
        </w:rPr>
        <w:t>×</w:t>
      </w:r>
      <w:r w:rsidRPr="006F1A8D">
        <w:rPr>
          <w:rFonts w:ascii="Times New Roman" w:hAnsi="Times New Roman"/>
          <w:w w:val="100"/>
          <w:sz w:val="24"/>
        </w:rPr>
        <w:t>мг</w:t>
      </w:r>
      <w:proofErr w:type="spellEnd"/>
      <w:r w:rsidRPr="006F1A8D">
        <w:rPr>
          <w:rFonts w:ascii="Times New Roman" w:hAnsi="Times New Roman"/>
          <w:w w:val="100"/>
          <w:sz w:val="24"/>
        </w:rPr>
        <w:t xml:space="preserve">; </w:t>
      </w:r>
      <w:proofErr w:type="spellStart"/>
      <w:proofErr w:type="gramStart"/>
      <w:r w:rsidRPr="006F1A8D">
        <w:rPr>
          <w:rFonts w:ascii="Times New Roman" w:hAnsi="Times New Roman"/>
          <w:w w:val="100"/>
          <w:sz w:val="24"/>
        </w:rPr>
        <w:t>р</w:t>
      </w:r>
      <w:proofErr w:type="spellEnd"/>
      <w:proofErr w:type="gramEnd"/>
      <w:r w:rsidRPr="006F1A8D">
        <w:rPr>
          <w:rFonts w:ascii="Times New Roman" w:hAnsi="Times New Roman"/>
          <w:w w:val="100"/>
          <w:sz w:val="24"/>
        </w:rPr>
        <w:t xml:space="preserve"> = 0,0009). Комплексная восходящая </w:t>
      </w:r>
      <w:proofErr w:type="spellStart"/>
      <w:r w:rsidRPr="006F1A8D">
        <w:rPr>
          <w:rFonts w:ascii="Times New Roman" w:hAnsi="Times New Roman"/>
          <w:w w:val="100"/>
          <w:sz w:val="24"/>
        </w:rPr>
        <w:t>лимфодренажная</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гальвано­фармакологическая</w:t>
      </w:r>
      <w:proofErr w:type="spellEnd"/>
      <w:r w:rsidRPr="006F1A8D">
        <w:rPr>
          <w:rFonts w:ascii="Times New Roman" w:hAnsi="Times New Roman"/>
          <w:w w:val="100"/>
          <w:sz w:val="24"/>
        </w:rPr>
        <w:t xml:space="preserve"> техника эффективно купирует болевой синдром, улучшает </w:t>
      </w:r>
      <w:proofErr w:type="spellStart"/>
      <w:r w:rsidRPr="006F1A8D">
        <w:rPr>
          <w:rFonts w:ascii="Times New Roman" w:hAnsi="Times New Roman"/>
          <w:w w:val="100"/>
          <w:sz w:val="24"/>
        </w:rPr>
        <w:t>ПОЛ­уровни</w:t>
      </w:r>
      <w:proofErr w:type="spellEnd"/>
      <w:r w:rsidRPr="006F1A8D">
        <w:rPr>
          <w:rFonts w:ascii="Times New Roman" w:hAnsi="Times New Roman"/>
          <w:w w:val="100"/>
          <w:sz w:val="24"/>
        </w:rPr>
        <w:t xml:space="preserve"> и сосудистые показатели шеи/головы у (75,6 ± 4,3)</w:t>
      </w:r>
      <w:r w:rsidRPr="006F1A8D">
        <w:rPr>
          <w:rFonts w:ascii="Times New Roman"/>
          <w:w w:val="100"/>
          <w:sz w:val="24"/>
        </w:rPr>
        <w:t> </w:t>
      </w:r>
      <w:r w:rsidRPr="006F1A8D">
        <w:rPr>
          <w:rFonts w:ascii="Times New Roman" w:hAnsi="Times New Roman"/>
          <w:w w:val="100"/>
          <w:sz w:val="24"/>
        </w:rPr>
        <w:t xml:space="preserve">% больных. </w:t>
      </w:r>
      <w:r w:rsidRPr="006F1A8D">
        <w:rPr>
          <w:rFonts w:ascii="Times New Roman" w:hAnsi="Times New Roman"/>
          <w:i/>
          <w:iCs/>
          <w:w w:val="100"/>
          <w:sz w:val="24"/>
        </w:rPr>
        <w:t>Выводы</w:t>
      </w:r>
      <w:r w:rsidRPr="006F1A8D">
        <w:rPr>
          <w:rFonts w:ascii="Times New Roman" w:hAnsi="Times New Roman"/>
          <w:w w:val="100"/>
          <w:sz w:val="24"/>
        </w:rPr>
        <w:t xml:space="preserve">: восходящая </w:t>
      </w:r>
      <w:proofErr w:type="spellStart"/>
      <w:r w:rsidRPr="006F1A8D">
        <w:rPr>
          <w:rFonts w:ascii="Times New Roman" w:hAnsi="Times New Roman"/>
          <w:w w:val="100"/>
          <w:sz w:val="24"/>
        </w:rPr>
        <w:t>гальвано­фармакологическая</w:t>
      </w:r>
      <w:proofErr w:type="spellEnd"/>
      <w:r w:rsidRPr="006F1A8D">
        <w:rPr>
          <w:rFonts w:ascii="Times New Roman" w:hAnsi="Times New Roman"/>
          <w:w w:val="100"/>
          <w:sz w:val="24"/>
        </w:rPr>
        <w:t xml:space="preserve"> техника с применением разработанного лечебного комплекса у пациентов с </w:t>
      </w:r>
      <w:proofErr w:type="spellStart"/>
      <w:r w:rsidRPr="006F1A8D">
        <w:rPr>
          <w:rFonts w:ascii="Times New Roman" w:hAnsi="Times New Roman"/>
          <w:w w:val="100"/>
          <w:sz w:val="24"/>
        </w:rPr>
        <w:t>дискогенным</w:t>
      </w:r>
      <w:proofErr w:type="spellEnd"/>
      <w:r w:rsidRPr="006F1A8D">
        <w:rPr>
          <w:rFonts w:ascii="Times New Roman" w:hAnsi="Times New Roman"/>
          <w:w w:val="100"/>
          <w:sz w:val="24"/>
        </w:rPr>
        <w:t xml:space="preserve"> поражением шейного отдела позвоночника способствует </w:t>
      </w:r>
      <w:proofErr w:type="gramStart"/>
      <w:r w:rsidRPr="006F1A8D">
        <w:rPr>
          <w:rFonts w:ascii="Times New Roman" w:hAnsi="Times New Roman"/>
          <w:w w:val="100"/>
          <w:sz w:val="24"/>
        </w:rPr>
        <w:t>эффективной</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лимфодренажной</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lastRenderedPageBreak/>
        <w:t>детоксикации</w:t>
      </w:r>
      <w:proofErr w:type="spellEnd"/>
      <w:r w:rsidRPr="006F1A8D">
        <w:rPr>
          <w:rFonts w:ascii="Times New Roman" w:hAnsi="Times New Roman"/>
          <w:w w:val="100"/>
          <w:sz w:val="24"/>
        </w:rPr>
        <w:t xml:space="preserve">, улучшению гуморального транспорта, обезболивающему и противовоспалительному эффектам, восстановлению нарушенных функций мышечного и связочного аппарата, формированию </w:t>
      </w:r>
      <w:proofErr w:type="spellStart"/>
      <w:r w:rsidRPr="006F1A8D">
        <w:rPr>
          <w:rFonts w:ascii="Times New Roman" w:hAnsi="Times New Roman"/>
          <w:w w:val="100"/>
          <w:sz w:val="24"/>
        </w:rPr>
        <w:t>компенсаторно­приспособительных</w:t>
      </w:r>
      <w:proofErr w:type="spellEnd"/>
      <w:r w:rsidRPr="006F1A8D">
        <w:rPr>
          <w:rFonts w:ascii="Times New Roman" w:hAnsi="Times New Roman"/>
          <w:w w:val="100"/>
          <w:sz w:val="24"/>
        </w:rPr>
        <w:t xml:space="preserve"> реакций. </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w:t>
      </w:r>
      <w:proofErr w:type="spellStart"/>
      <w:r w:rsidRPr="006F1A8D">
        <w:rPr>
          <w:rFonts w:ascii="Times New Roman" w:hAnsi="Times New Roman"/>
          <w:w w:val="100"/>
          <w:sz w:val="24"/>
        </w:rPr>
        <w:t>гальванофорез</w:t>
      </w:r>
      <w:proofErr w:type="spellEnd"/>
      <w:r w:rsidRPr="006F1A8D">
        <w:rPr>
          <w:rFonts w:ascii="Times New Roman" w:hAnsi="Times New Roman"/>
          <w:w w:val="100"/>
          <w:sz w:val="24"/>
        </w:rPr>
        <w:t xml:space="preserve">, ПОЛ, </w:t>
      </w:r>
      <w:proofErr w:type="spellStart"/>
      <w:r w:rsidRPr="006F1A8D">
        <w:rPr>
          <w:rFonts w:ascii="Times New Roman" w:hAnsi="Times New Roman"/>
          <w:w w:val="100"/>
          <w:sz w:val="24"/>
        </w:rPr>
        <w:t>МРТ­показатели</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дискогенная</w:t>
      </w:r>
      <w:proofErr w:type="spellEnd"/>
      <w:r w:rsidRPr="006F1A8D">
        <w:rPr>
          <w:rFonts w:ascii="Times New Roman" w:hAnsi="Times New Roman"/>
          <w:w w:val="100"/>
          <w:sz w:val="24"/>
        </w:rPr>
        <w:t xml:space="preserve"> патология шейного отдела позвоночника, лимфатический дренаж, гуморальный транспорт </w:t>
      </w:r>
    </w:p>
    <w:p w:rsidR="006F1A8D" w:rsidRPr="006F1A8D" w:rsidRDefault="006F1A8D" w:rsidP="006F1A8D">
      <w:pPr>
        <w:pStyle w:val="a3"/>
        <w:rPr>
          <w:rFonts w:ascii="Times New Roman" w:hAnsi="Times New Roman"/>
          <w:sz w:val="24"/>
        </w:rPr>
      </w:pPr>
    </w:p>
    <w:sectPr w:rsidR="006F1A8D" w:rsidRPr="006F1A8D"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A8D"/>
    <w:rsid w:val="005A26E2"/>
    <w:rsid w:val="006F1A8D"/>
    <w:rsid w:val="00B2646E"/>
    <w:rsid w:val="00C637ED"/>
    <w:rsid w:val="00E06CF1"/>
    <w:rsid w:val="00ED5ADD"/>
    <w:rsid w:val="00F80407"/>
    <w:rsid w:val="00F97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6F1A8D"/>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6F1A8D"/>
    <w:pPr>
      <w:spacing w:after="113"/>
      <w:ind w:firstLine="0"/>
    </w:pPr>
    <w:rPr>
      <w:sz w:val="18"/>
      <w:szCs w:val="18"/>
    </w:rPr>
  </w:style>
  <w:style w:type="paragraph" w:customStyle="1" w:styleId="a5">
    <w:name w:val="ЗАГОЛОВОК"/>
    <w:basedOn w:val="a"/>
    <w:uiPriority w:val="99"/>
    <w:rsid w:val="006F1A8D"/>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6F1A8D"/>
    <w:pPr>
      <w:suppressAutoHyphens w:val="0"/>
    </w:pPr>
    <w:rPr>
      <w:rFonts w:ascii="OfficinaSansC" w:hAnsi="OfficinaSansC" w:cs="OfficinaSansC"/>
      <w:b/>
      <w:bCs/>
      <w:caps w:val="0"/>
      <w:sz w:val="24"/>
      <w:szCs w:val="24"/>
    </w:rPr>
  </w:style>
  <w:style w:type="paragraph" w:customStyle="1" w:styleId="a7">
    <w:name w:val="ГОРОД"/>
    <w:basedOn w:val="a6"/>
    <w:uiPriority w:val="99"/>
    <w:rsid w:val="006F1A8D"/>
    <w:pPr>
      <w:spacing w:after="0"/>
    </w:pPr>
    <w:rPr>
      <w:w w:val="90"/>
      <w:sz w:val="22"/>
      <w:szCs w:val="22"/>
    </w:rPr>
  </w:style>
  <w:style w:type="paragraph" w:customStyle="1" w:styleId="a8">
    <w:name w:val="РЕЗЮМЕ"/>
    <w:basedOn w:val="a3"/>
    <w:uiPriority w:val="99"/>
    <w:rsid w:val="006F1A8D"/>
    <w:rPr>
      <w:rFonts w:ascii="OfficinaSansC" w:hAnsi="OfficinaSansC" w:cs="OfficinaSansC"/>
      <w:w w:val="95"/>
      <w:sz w:val="18"/>
      <w:szCs w:val="18"/>
    </w:rPr>
  </w:style>
  <w:style w:type="paragraph" w:customStyle="1" w:styleId="a9">
    <w:name w:val="АВТОР АНГЛ"/>
    <w:basedOn w:val="a6"/>
    <w:uiPriority w:val="99"/>
    <w:rsid w:val="006F1A8D"/>
    <w:pPr>
      <w:spacing w:line="288" w:lineRule="atLeast"/>
    </w:pPr>
  </w:style>
  <w:style w:type="paragraph" w:customStyle="1" w:styleId="aa">
    <w:name w:val="КОНТАКТНАЯ ИНФОРМАЦИЯ"/>
    <w:basedOn w:val="a"/>
    <w:uiPriority w:val="99"/>
    <w:rsid w:val="006F1A8D"/>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6F1A8D"/>
    <w:rPr>
      <w:sz w:val="18"/>
      <w:szCs w:val="18"/>
    </w:rPr>
  </w:style>
  <w:style w:type="character" w:styleId="ac">
    <w:name w:val="Hyperlink"/>
    <w:basedOn w:val="a0"/>
    <w:uiPriority w:val="99"/>
    <w:unhideWhenUsed/>
    <w:rsid w:val="006F1A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2927</Words>
  <Characters>16688</Characters>
  <Application>Microsoft Office Word</Application>
  <DocSecurity>0</DocSecurity>
  <Lines>139</Lines>
  <Paragraphs>39</Paragraphs>
  <ScaleCrop>false</ScaleCrop>
  <Company>NSMU</Company>
  <LinksUpToDate>false</LinksUpToDate>
  <CharactersWithSpaces>19576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2018-10-11T07:08:00Z</dcterms:created>
  <dcterms:modified xsi:type="dcterms:W3CDTF">2018-10-11T13:15:00Z</dcterms:modified>
</cp:coreProperties>
</file>